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08" w:type="dxa"/>
        <w:jc w:val="center"/>
        <w:tblBorders>
          <w:top w:val="single" w:color="1F3864" w:sz="12" w:space="0"/>
          <w:left w:val="single" w:color="1F3864" w:sz="12" w:space="0"/>
          <w:bottom w:val="single" w:color="1F3864" w:sz="12" w:space="0"/>
          <w:right w:val="single" w:color="1F3864" w:sz="12" w:space="0"/>
          <w:insideH w:val="single" w:color="1F3864" w:sz="4" w:space="0"/>
          <w:insideV w:val="single" w:color="1F3864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6"/>
        <w:gridCol w:w="8347"/>
      </w:tblGrid>
      <w:tr w14:paraId="0E08C0E6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75A529C5">
            <w:pPr>
              <w:pStyle w:val="4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7D334979">
            <w:pPr>
              <w:pStyle w:val="4"/>
              <w:jc w:val="center"/>
              <w:rPr>
                <w:rFonts w:ascii="微软雅黑" w:hAnsi="微软雅黑"/>
                <w:b/>
                <w:color w:val="1F4E79"/>
                <w:sz w:val="32"/>
                <w:szCs w:val="30"/>
              </w:rPr>
            </w:pP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  <w:lang w:val="en-US" w:eastAsia="zh-CN"/>
              </w:rPr>
              <w:t xml:space="preserve">项目三  </w:t>
            </w: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</w:rPr>
              <w:t>消费税</w:t>
            </w: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  <w:lang w:val="en-US" w:eastAsia="zh-CN"/>
              </w:rPr>
              <w:t>计算与申报</w:t>
            </w: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</w:rPr>
              <w:t>（</w:t>
            </w: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  <w:lang w:val="en-US" w:eastAsia="zh-CN"/>
              </w:rPr>
              <w:t>三</w:t>
            </w:r>
            <w:r>
              <w:rPr>
                <w:rFonts w:hint="eastAsia" w:ascii="微软雅黑" w:hAnsi="微软雅黑"/>
                <w:b/>
                <w:color w:val="1F4E79"/>
                <w:sz w:val="32"/>
                <w:szCs w:val="30"/>
              </w:rPr>
              <w:t>）</w:t>
            </w:r>
          </w:p>
        </w:tc>
      </w:tr>
      <w:tr w14:paraId="1D7159FD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F2F2F2"/>
            <w:vAlign w:val="center"/>
          </w:tcPr>
          <w:p w14:paraId="0C625329">
            <w:pPr>
              <w:pStyle w:val="4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534E6866">
            <w:pPr>
              <w:pStyle w:val="4"/>
              <w:ind w:firstLine="180" w:firstLineChars="100"/>
            </w:pPr>
            <w:r>
              <w:rPr>
                <w:rFonts w:hint="eastAsia"/>
                <w:lang w:val="en-US" w:eastAsia="zh-CN"/>
              </w:rPr>
              <w:t>4</w:t>
            </w:r>
            <w:r>
              <w:t>课时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180</w:t>
            </w:r>
            <w:r>
              <w:rPr>
                <w:rFonts w:hint="eastAsia"/>
              </w:rPr>
              <w:t>min）</w:t>
            </w:r>
          </w:p>
        </w:tc>
      </w:tr>
      <w:tr w14:paraId="45F6DDC6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39AAD8D4">
            <w:pPr>
              <w:pStyle w:val="4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65481449">
            <w:pPr>
              <w:pStyle w:val="4"/>
              <w:ind w:firstLine="180" w:firstLineChars="100"/>
              <w:rPr>
                <w:rFonts w:ascii="微软雅黑" w:hAnsi="微软雅黑"/>
                <w:b/>
                <w:color w:val="833C0B"/>
              </w:rPr>
            </w:pPr>
            <w:r>
              <w:rPr>
                <w:rFonts w:hint="eastAsia" w:ascii="微软雅黑" w:hAnsi="微软雅黑"/>
                <w:b/>
                <w:color w:val="833C0B"/>
              </w:rPr>
              <w:t>知识技能目标：</w:t>
            </w:r>
          </w:p>
          <w:p w14:paraId="0F8DB31E">
            <w:pPr>
              <w:pStyle w:val="4"/>
              <w:ind w:firstLine="360" w:firstLineChars="200"/>
            </w:pPr>
            <w:r>
              <w:rPr>
                <w:rFonts w:hint="eastAsia"/>
              </w:rPr>
              <w:t>（1）掌握消费税纳税义务发生的时间、纳税期限和纳税地点。</w:t>
            </w:r>
          </w:p>
          <w:p w14:paraId="3B7B1480">
            <w:pPr>
              <w:pStyle w:val="4"/>
              <w:ind w:firstLine="360" w:firstLineChars="200"/>
            </w:pPr>
            <w:r>
              <w:rPr>
                <w:rFonts w:hint="eastAsia"/>
              </w:rPr>
              <w:t>（2）掌握消费税的纳税申报。</w:t>
            </w:r>
          </w:p>
          <w:p w14:paraId="1A78107F">
            <w:pPr>
              <w:pStyle w:val="4"/>
              <w:ind w:firstLine="180" w:firstLineChars="100"/>
              <w:rPr>
                <w:rFonts w:ascii="微软雅黑" w:hAnsi="微软雅黑"/>
                <w:b/>
                <w:color w:val="833C0B"/>
              </w:rPr>
            </w:pPr>
            <w:r>
              <w:rPr>
                <w:rFonts w:hint="eastAsia" w:ascii="微软雅黑" w:hAnsi="微软雅黑"/>
                <w:b/>
                <w:color w:val="833C0B"/>
              </w:rPr>
              <w:t>素质</w:t>
            </w:r>
            <w:r>
              <w:rPr>
                <w:rFonts w:ascii="微软雅黑" w:hAnsi="微软雅黑"/>
                <w:b/>
                <w:color w:val="833C0B"/>
              </w:rPr>
              <w:t>目标</w:t>
            </w:r>
            <w:r>
              <w:rPr>
                <w:rFonts w:hint="eastAsia" w:ascii="微软雅黑" w:hAnsi="微软雅黑"/>
                <w:b/>
                <w:color w:val="833C0B"/>
              </w:rPr>
              <w:t>：</w:t>
            </w:r>
          </w:p>
          <w:p w14:paraId="5B3C7DB1">
            <w:pPr>
              <w:pStyle w:val="4"/>
              <w:ind w:firstLine="360" w:firstLineChars="200"/>
            </w:pPr>
            <w:r>
              <w:rPr>
                <w:rFonts w:hint="eastAsia"/>
              </w:rPr>
              <w:t>（1）增强节能环保、绿色低碳意识。</w:t>
            </w:r>
          </w:p>
          <w:p w14:paraId="1E55BEAB">
            <w:pPr>
              <w:pStyle w:val="4"/>
              <w:ind w:firstLine="360" w:firstLineChars="200"/>
            </w:pPr>
            <w:r>
              <w:rPr>
                <w:rFonts w:hint="eastAsia"/>
              </w:rPr>
              <w:t>（2）树立理性消费观念。</w:t>
            </w:r>
          </w:p>
        </w:tc>
      </w:tr>
      <w:tr w14:paraId="1F765126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F2F2F2"/>
            <w:vAlign w:val="center"/>
          </w:tcPr>
          <w:p w14:paraId="40FE3996">
            <w:pPr>
              <w:pStyle w:val="4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58E5B262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1F4E79"/>
              </w:rPr>
              <w:t>教学重点：</w:t>
            </w:r>
            <w:r>
              <w:rPr>
                <w:rFonts w:hint="eastAsia"/>
              </w:rPr>
              <w:t>消费税的征收管理，消费税的纳税申报</w:t>
            </w:r>
          </w:p>
          <w:p w14:paraId="6259EFE6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1F4E79"/>
              </w:rPr>
              <w:t>教学难点：</w:t>
            </w:r>
            <w:r>
              <w:rPr>
                <w:rFonts w:hint="eastAsia"/>
              </w:rPr>
              <w:t>能正确填写纳税申报表</w:t>
            </w:r>
          </w:p>
        </w:tc>
      </w:tr>
      <w:tr w14:paraId="7FA93234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4C6A5603">
            <w:pPr>
              <w:pStyle w:val="4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253B64EB">
            <w:pPr>
              <w:pStyle w:val="4"/>
              <w:ind w:firstLine="180" w:firstLineChars="100"/>
            </w:pPr>
            <w:r>
              <w:rPr>
                <w:rFonts w:hint="eastAsia"/>
              </w:rPr>
              <w:t>案例分析法、问答法、讨论法、讲授法</w:t>
            </w:r>
          </w:p>
        </w:tc>
      </w:tr>
      <w:tr w14:paraId="1479943D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F2F2F2"/>
            <w:vAlign w:val="center"/>
          </w:tcPr>
          <w:p w14:paraId="4DCA9ADD">
            <w:pPr>
              <w:pStyle w:val="4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36293CB0">
            <w:pPr>
              <w:pStyle w:val="4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 w14:paraId="7A29B0B1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35E6C655">
            <w:pPr>
              <w:pStyle w:val="4"/>
              <w:jc w:val="center"/>
              <w:rPr>
                <w:rFonts w:ascii="微软雅黑" w:hAnsi="微软雅黑"/>
                <w:b/>
                <w:color w:val="1F4E79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1F4E79"/>
                <w:sz w:val="24"/>
                <w:szCs w:val="24"/>
              </w:rPr>
              <w:t>教学过程</w:t>
            </w:r>
          </w:p>
        </w:tc>
        <w:tc>
          <w:tcPr>
            <w:tcW w:w="8347" w:type="dxa"/>
            <w:shd w:val="clear" w:color="auto" w:fill="DEEAF6"/>
            <w:vAlign w:val="center"/>
          </w:tcPr>
          <w:p w14:paraId="2F28FA6B">
            <w:pPr>
              <w:pStyle w:val="4"/>
              <w:jc w:val="center"/>
              <w:rPr>
                <w:rFonts w:ascii="微软雅黑" w:hAnsi="微软雅黑"/>
                <w:b/>
                <w:color w:val="1F4E79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1F4E79"/>
                <w:sz w:val="24"/>
                <w:szCs w:val="24"/>
              </w:rPr>
              <w:t>主要教学内容及步骤</w:t>
            </w:r>
          </w:p>
        </w:tc>
      </w:tr>
      <w:tr w14:paraId="5D8C7E19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7DF14E23">
            <w:pPr>
              <w:pStyle w:val="4"/>
              <w:jc w:val="center"/>
              <w:rPr>
                <w:rFonts w:ascii="微软雅黑" w:hAnsi="微软雅黑"/>
                <w:b/>
              </w:rPr>
            </w:pPr>
            <w:r>
              <w:rPr>
                <w:rFonts w:ascii="微软雅黑" w:hAnsi="微软雅黑"/>
                <w:b/>
              </w:rPr>
              <w:t>案例导入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19188DBC">
            <w:pPr>
              <w:pStyle w:val="4"/>
              <w:ind w:firstLine="180" w:firstLineChars="100"/>
              <w:rPr>
                <w:rFonts w:ascii="微软雅黑" w:hAnsi="微软雅黑"/>
                <w:b/>
                <w:kern w:val="2"/>
                <w:szCs w:val="18"/>
                <w:lang w:eastAsia="zh-CN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【教师】多媒体展示</w:t>
            </w:r>
            <w:r>
              <w:rPr>
                <w:rFonts w:hint="eastAsia" w:ascii="微软雅黑" w:hAnsi="微软雅黑"/>
                <w:b/>
                <w:color w:val="1F4E79"/>
                <w:lang w:val="en-US" w:eastAsia="zh-CN"/>
              </w:rPr>
              <w:t>教材某烟草公司</w:t>
            </w:r>
            <w:r>
              <w:rPr>
                <w:rFonts w:hint="eastAsia" w:ascii="微软雅黑" w:hAnsi="微软雅黑"/>
                <w:b/>
                <w:color w:val="1F4E79"/>
              </w:rPr>
              <w:t>企业概况和基本业务，然后要求学生完成以下任务：</w:t>
            </w:r>
          </w:p>
          <w:p w14:paraId="1EE23CEB">
            <w:pPr>
              <w:pStyle w:val="4"/>
              <w:ind w:firstLine="360" w:firstLineChars="200"/>
              <w:rPr>
                <w:rFonts w:ascii="微软雅黑" w:hAnsi="微软雅黑"/>
                <w:kern w:val="2"/>
                <w:szCs w:val="18"/>
                <w:lang w:val="zh-CN" w:eastAsia="zh-CN"/>
              </w:rPr>
            </w:pPr>
            <w:r>
              <w:rPr>
                <w:rFonts w:hint="default" w:ascii="Arial" w:hAnsi="Arial" w:cs="Arial"/>
                <w:kern w:val="2"/>
                <w:szCs w:val="18"/>
                <w:lang w:val="zh-CN" w:eastAsia="zh-CN"/>
              </w:rPr>
              <w:t>××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年</w:t>
            </w:r>
            <w:r>
              <w:rPr>
                <w:rFonts w:hint="eastAsia" w:ascii="微软雅黑" w:hAnsi="微软雅黑"/>
                <w:kern w:val="2"/>
                <w:szCs w:val="18"/>
                <w:lang w:val="en-US" w:eastAsia="zh-CN"/>
              </w:rPr>
              <w:t>4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月</w:t>
            </w:r>
            <w:r>
              <w:rPr>
                <w:rFonts w:hint="eastAsia" w:ascii="微软雅黑" w:hAnsi="微软雅黑"/>
                <w:kern w:val="2"/>
                <w:szCs w:val="18"/>
                <w:lang w:val="en-US" w:eastAsia="zh-CN"/>
              </w:rPr>
              <w:t>6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日，</w:t>
            </w:r>
            <w:r>
              <w:rPr>
                <w:rFonts w:hint="eastAsia" w:ascii="微软雅黑" w:hAnsi="微软雅黑"/>
                <w:kern w:val="2"/>
                <w:szCs w:val="18"/>
                <w:lang w:val="en-US" w:eastAsia="zh-CN"/>
              </w:rPr>
              <w:t>该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公司对消费税进行纳税申报，请填写相关纳税申报表。</w:t>
            </w:r>
          </w:p>
          <w:p w14:paraId="4F8D89D7">
            <w:pPr>
              <w:pStyle w:val="4"/>
              <w:ind w:firstLine="164" w:firstLineChars="100"/>
              <w:rPr>
                <w:rFonts w:ascii="微软雅黑" w:hAnsi="微软雅黑"/>
                <w:b/>
                <w:color w:val="833C0B"/>
                <w:spacing w:val="-8"/>
              </w:rPr>
            </w:pPr>
            <w:r>
              <w:rPr>
                <w:rFonts w:hint="eastAsia" w:ascii="微软雅黑" w:hAnsi="微软雅黑"/>
                <w:b/>
                <w:color w:val="833C0B"/>
                <w:spacing w:val="-8"/>
              </w:rPr>
              <w:t>【学生】观看、思考、讨论、填写</w:t>
            </w:r>
          </w:p>
        </w:tc>
      </w:tr>
      <w:tr w14:paraId="5DF36004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561" w:type="dxa"/>
            <w:gridSpan w:val="2"/>
            <w:shd w:val="clear" w:color="auto" w:fill="DEEAF6"/>
            <w:vAlign w:val="center"/>
          </w:tcPr>
          <w:p w14:paraId="779E8CBA">
            <w:pPr>
              <w:pStyle w:val="4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</w:t>
            </w:r>
          </w:p>
        </w:tc>
        <w:tc>
          <w:tcPr>
            <w:tcW w:w="8347" w:type="dxa"/>
            <w:shd w:val="clear" w:color="auto" w:fill="FFFFFF"/>
            <w:vAlign w:val="center"/>
          </w:tcPr>
          <w:p w14:paraId="6C586C3E">
            <w:pPr>
              <w:pStyle w:val="4"/>
              <w:ind w:firstLine="180" w:firstLineChars="100"/>
              <w:rPr>
                <w:b/>
                <w:lang w:bidi="ar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【教师】通过学生的填写结果</w:t>
            </w:r>
            <w:r>
              <w:rPr>
                <w:rFonts w:ascii="微软雅黑" w:hAnsi="微软雅黑"/>
                <w:b/>
                <w:color w:val="1F4E79"/>
              </w:rPr>
              <w:t>和</w:t>
            </w:r>
            <w:r>
              <w:rPr>
                <w:rFonts w:hint="eastAsia" w:ascii="微软雅黑" w:hAnsi="微软雅黑"/>
                <w:b/>
                <w:color w:val="1F4E79"/>
              </w:rPr>
              <w:t>遇到的</w:t>
            </w:r>
            <w:r>
              <w:rPr>
                <w:rFonts w:ascii="微软雅黑" w:hAnsi="微软雅黑"/>
                <w:b/>
                <w:color w:val="1F4E79"/>
              </w:rPr>
              <w:t>问题，引入</w:t>
            </w:r>
            <w:r>
              <w:rPr>
                <w:rFonts w:hint="eastAsia" w:ascii="微软雅黑" w:hAnsi="微软雅黑"/>
                <w:b/>
                <w:color w:val="1F4E79"/>
              </w:rPr>
              <w:t>要讲的</w:t>
            </w:r>
            <w:r>
              <w:rPr>
                <w:rFonts w:ascii="微软雅黑" w:hAnsi="微软雅黑"/>
                <w:b/>
                <w:color w:val="1F4E79"/>
              </w:rPr>
              <w:t>知识</w:t>
            </w:r>
            <w:r>
              <w:rPr>
                <w:rFonts w:hint="eastAsia" w:ascii="微软雅黑" w:hAnsi="微软雅黑"/>
                <w:b/>
                <w:color w:val="1F4E79"/>
              </w:rPr>
              <w:t>，讲解消费税纳税义务发生时间、纳税期限、纳税地点，以及消费税的纳税申报等知识</w:t>
            </w:r>
          </w:p>
          <w:p w14:paraId="307C9AD2">
            <w:pPr>
              <w:pStyle w:val="4"/>
              <w:ind w:firstLine="360" w:firstLineChars="200"/>
              <w:rPr>
                <w:b/>
                <w:lang w:bidi="ar"/>
              </w:rPr>
            </w:pPr>
            <w:r>
              <w:rPr>
                <w:rFonts w:hint="eastAsia"/>
                <w:b/>
                <w:lang w:bidi="ar"/>
              </w:rPr>
              <w:t>一、征收管理</w:t>
            </w:r>
          </w:p>
          <w:p w14:paraId="7B320804">
            <w:pPr>
              <w:pStyle w:val="4"/>
              <w:ind w:firstLine="360" w:firstLineChars="200"/>
              <w:rPr>
                <w:b/>
                <w:lang w:bidi="ar"/>
              </w:rPr>
            </w:pPr>
            <w:r>
              <w:rPr>
                <w:rFonts w:hint="eastAsia"/>
                <w:b/>
                <w:lang w:bidi="ar"/>
              </w:rPr>
              <w:t>（一）纳税义务发生时间</w:t>
            </w:r>
          </w:p>
          <w:p w14:paraId="0ACB66F8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【教师】讲解消费税纳税义务发生时间</w:t>
            </w:r>
          </w:p>
          <w:p w14:paraId="47A1105E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消费税的纳税义务发生时间，根据货款结算方式或应税行为发生时间分别确定，具体如表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/>
                <w:lang w:bidi="ar"/>
              </w:rPr>
              <w:t>-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/>
                <w:lang w:bidi="ar"/>
              </w:rPr>
              <w:t>所示。</w:t>
            </w:r>
          </w:p>
          <w:p w14:paraId="6C3FCA1C">
            <w:pPr>
              <w:pStyle w:val="4"/>
              <w:ind w:firstLine="360" w:firstLineChars="200"/>
              <w:jc w:val="center"/>
              <w:rPr>
                <w:lang w:bidi="ar"/>
              </w:rPr>
            </w:pPr>
            <w:r>
              <w:rPr>
                <w:rFonts w:hint="eastAsia"/>
                <w:lang w:bidi="ar"/>
              </w:rPr>
              <w:t>表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/>
                <w:lang w:bidi="ar"/>
              </w:rPr>
              <w:t>-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/>
                <w:lang w:bidi="ar"/>
              </w:rPr>
              <w:t xml:space="preserve">  消费税纳税义务发生时间</w:t>
            </w:r>
          </w:p>
          <w:tbl>
            <w:tblPr>
              <w:tblStyle w:val="2"/>
              <w:tblW w:w="7654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07"/>
              <w:gridCol w:w="2483"/>
              <w:gridCol w:w="3964"/>
            </w:tblGrid>
            <w:tr w14:paraId="0763C6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3690" w:type="dxa"/>
                  <w:gridSpan w:val="2"/>
                  <w:shd w:val="clear" w:color="auto" w:fill="DAE3F4" w:themeFill="accent1" w:themeFillTint="33"/>
                  <w:vAlign w:val="center"/>
                </w:tcPr>
                <w:p w14:paraId="3AEC364D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应税行为</w:t>
                  </w:r>
                </w:p>
              </w:tc>
              <w:tc>
                <w:tcPr>
                  <w:tcW w:w="3964" w:type="dxa"/>
                  <w:shd w:val="clear" w:color="auto" w:fill="DAE3F4" w:themeFill="accent1" w:themeFillTint="33"/>
                  <w:vAlign w:val="center"/>
                </w:tcPr>
                <w:p w14:paraId="6EF7B55E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纳税义务发生时间</w:t>
                  </w:r>
                </w:p>
              </w:tc>
            </w:tr>
            <w:tr w14:paraId="1A7F557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1207" w:type="dxa"/>
                  <w:vMerge w:val="restart"/>
                  <w:shd w:val="clear" w:color="auto" w:fill="auto"/>
                  <w:vAlign w:val="center"/>
                </w:tcPr>
                <w:p w14:paraId="1F98EAD2">
                  <w:pPr>
                    <w:pStyle w:val="4"/>
                    <w:jc w:val="center"/>
                  </w:pPr>
                  <w:r>
                    <w:rPr>
                      <w:rFonts w:hint="eastAsia"/>
                      <w:spacing w:val="2"/>
                    </w:rPr>
                    <w:t>销售应税消费品</w:t>
                  </w:r>
                </w:p>
              </w:tc>
              <w:tc>
                <w:tcPr>
                  <w:tcW w:w="2483" w:type="dxa"/>
                  <w:shd w:val="clear" w:color="auto" w:fill="auto"/>
                  <w:vAlign w:val="center"/>
                </w:tcPr>
                <w:p w14:paraId="0B995C0D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采取赊销和分期收款结算方式的</w:t>
                  </w:r>
                </w:p>
              </w:tc>
              <w:tc>
                <w:tcPr>
                  <w:tcW w:w="3964" w:type="dxa"/>
                  <w:shd w:val="clear" w:color="auto" w:fill="auto"/>
                  <w:vAlign w:val="center"/>
                </w:tcPr>
                <w:p w14:paraId="62817CAE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书面合同约定的收款日期的当天，书面合同没有约定收款日期或者无书面合同的，为发出应税消费品的当天</w:t>
                  </w:r>
                </w:p>
              </w:tc>
            </w:tr>
            <w:tr w14:paraId="257F1D0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1207" w:type="dxa"/>
                  <w:vMerge w:val="continue"/>
                  <w:shd w:val="clear" w:color="auto" w:fill="auto"/>
                  <w:vAlign w:val="center"/>
                </w:tcPr>
                <w:p w14:paraId="5D862B69">
                  <w:pPr>
                    <w:pStyle w:val="4"/>
                    <w:jc w:val="center"/>
                  </w:pPr>
                </w:p>
              </w:tc>
              <w:tc>
                <w:tcPr>
                  <w:tcW w:w="2483" w:type="dxa"/>
                  <w:shd w:val="clear" w:color="auto" w:fill="auto"/>
                  <w:vAlign w:val="center"/>
                </w:tcPr>
                <w:p w14:paraId="29DD8F05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采取预收货款结算方式的</w:t>
                  </w:r>
                </w:p>
              </w:tc>
              <w:tc>
                <w:tcPr>
                  <w:tcW w:w="3964" w:type="dxa"/>
                  <w:shd w:val="clear" w:color="auto" w:fill="auto"/>
                  <w:vAlign w:val="center"/>
                </w:tcPr>
                <w:p w14:paraId="5AA02F25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发出应税消费品的当天</w:t>
                  </w:r>
                </w:p>
              </w:tc>
            </w:tr>
            <w:tr w14:paraId="06A82D9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1207" w:type="dxa"/>
                  <w:vMerge w:val="continue"/>
                  <w:shd w:val="clear" w:color="auto" w:fill="auto"/>
                  <w:vAlign w:val="center"/>
                </w:tcPr>
                <w:p w14:paraId="0C26DAEA">
                  <w:pPr>
                    <w:pStyle w:val="4"/>
                    <w:jc w:val="center"/>
                  </w:pPr>
                </w:p>
              </w:tc>
              <w:tc>
                <w:tcPr>
                  <w:tcW w:w="2483" w:type="dxa"/>
                  <w:shd w:val="clear" w:color="auto" w:fill="auto"/>
                  <w:vAlign w:val="center"/>
                </w:tcPr>
                <w:p w14:paraId="0271F517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采取托收承付和委托银行收款结算方式的</w:t>
                  </w:r>
                </w:p>
              </w:tc>
              <w:tc>
                <w:tcPr>
                  <w:tcW w:w="3964" w:type="dxa"/>
                  <w:shd w:val="clear" w:color="auto" w:fill="auto"/>
                  <w:vAlign w:val="center"/>
                </w:tcPr>
                <w:p w14:paraId="03C0EFDB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发出应税消费品并办妥托收手续的当天</w:t>
                  </w:r>
                </w:p>
              </w:tc>
            </w:tr>
            <w:tr w14:paraId="68D9CD1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1207" w:type="dxa"/>
                  <w:vMerge w:val="continue"/>
                  <w:shd w:val="clear" w:color="auto" w:fill="auto"/>
                  <w:vAlign w:val="center"/>
                </w:tcPr>
                <w:p w14:paraId="56D3DBE4">
                  <w:pPr>
                    <w:pStyle w:val="4"/>
                    <w:jc w:val="center"/>
                  </w:pPr>
                </w:p>
              </w:tc>
              <w:tc>
                <w:tcPr>
                  <w:tcW w:w="2483" w:type="dxa"/>
                  <w:shd w:val="clear" w:color="auto" w:fill="auto"/>
                  <w:vAlign w:val="center"/>
                </w:tcPr>
                <w:p w14:paraId="6006B83A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采取其他结算方式的</w:t>
                  </w:r>
                </w:p>
              </w:tc>
              <w:tc>
                <w:tcPr>
                  <w:tcW w:w="3964" w:type="dxa"/>
                  <w:shd w:val="clear" w:color="auto" w:fill="auto"/>
                  <w:vAlign w:val="center"/>
                </w:tcPr>
                <w:p w14:paraId="4C616473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收讫销售款或者取得索取销售款凭据的当天</w:t>
                  </w:r>
                </w:p>
              </w:tc>
            </w:tr>
            <w:tr w14:paraId="4930BB8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3690" w:type="dxa"/>
                  <w:gridSpan w:val="2"/>
                  <w:shd w:val="clear" w:color="auto" w:fill="auto"/>
                  <w:vAlign w:val="center"/>
                </w:tcPr>
                <w:p w14:paraId="4D6DEEA0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自产自用应税消费品</w:t>
                  </w:r>
                </w:p>
              </w:tc>
              <w:tc>
                <w:tcPr>
                  <w:tcW w:w="3964" w:type="dxa"/>
                  <w:shd w:val="clear" w:color="auto" w:fill="auto"/>
                  <w:vAlign w:val="center"/>
                </w:tcPr>
                <w:p w14:paraId="09E26FC7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移送使用的当天</w:t>
                  </w:r>
                </w:p>
              </w:tc>
            </w:tr>
            <w:tr w14:paraId="0186433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3690" w:type="dxa"/>
                  <w:gridSpan w:val="2"/>
                  <w:shd w:val="clear" w:color="auto" w:fill="auto"/>
                  <w:vAlign w:val="center"/>
                </w:tcPr>
                <w:p w14:paraId="74A95927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委托加工应税消费品</w:t>
                  </w:r>
                </w:p>
              </w:tc>
              <w:tc>
                <w:tcPr>
                  <w:tcW w:w="3964" w:type="dxa"/>
                  <w:shd w:val="clear" w:color="auto" w:fill="auto"/>
                  <w:vAlign w:val="center"/>
                </w:tcPr>
                <w:p w14:paraId="32E41C4E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提货的当天</w:t>
                  </w:r>
                </w:p>
              </w:tc>
            </w:tr>
            <w:tr w14:paraId="31A95AF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" w:hRule="atLeast"/>
                <w:jc w:val="center"/>
              </w:trPr>
              <w:tc>
                <w:tcPr>
                  <w:tcW w:w="3690" w:type="dxa"/>
                  <w:gridSpan w:val="2"/>
                  <w:shd w:val="clear" w:color="auto" w:fill="auto"/>
                  <w:vAlign w:val="center"/>
                </w:tcPr>
                <w:p w14:paraId="06FC4843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进口应税消费品</w:t>
                  </w:r>
                </w:p>
              </w:tc>
              <w:tc>
                <w:tcPr>
                  <w:tcW w:w="3964" w:type="dxa"/>
                  <w:shd w:val="clear" w:color="auto" w:fill="auto"/>
                  <w:vAlign w:val="center"/>
                </w:tcPr>
                <w:p w14:paraId="162A7745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报关进口的当天</w:t>
                  </w:r>
                </w:p>
              </w:tc>
            </w:tr>
          </w:tbl>
          <w:p w14:paraId="2C7F821C">
            <w:pPr>
              <w:pStyle w:val="4"/>
              <w:ind w:firstLine="360" w:firstLineChars="200"/>
              <w:rPr>
                <w:b/>
                <w:lang w:bidi="ar"/>
              </w:rPr>
            </w:pPr>
            <w:r>
              <w:rPr>
                <w:rFonts w:hint="eastAsia"/>
                <w:b/>
                <w:lang w:bidi="ar"/>
              </w:rPr>
              <w:t>（二）纳税期限</w:t>
            </w:r>
          </w:p>
          <w:p w14:paraId="7EEADE51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【教师】讲解消费税的纳税期限</w:t>
            </w:r>
          </w:p>
          <w:p w14:paraId="526CF503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消费税的纳税期限分别为1日、3日、5日、10日、15日、1个月或者1个季度。纳税人的具体纳税期限，由主管税务机关根据纳税人应纳税额的大小分别核定；不能按照固定期限纳税的，可以按次纳税。</w:t>
            </w:r>
          </w:p>
          <w:p w14:paraId="588C6517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纳税人以1个月或者1个季度为1个纳税期的，自期满之日起15日内申报纳税；以1日、3日、5日、10日或者15日为1个纳税期的，自期满之日起5日内预缴税额，于次月1日起至15日内申报纳税并结清上月应纳税额。</w:t>
            </w:r>
          </w:p>
          <w:p w14:paraId="0673C887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纳税人进口应税消费品，应当自海关填发海关进口消费税专用缴款书之日起15日内缴纳税额。</w:t>
            </w:r>
          </w:p>
          <w:p w14:paraId="16243226">
            <w:pPr>
              <w:pStyle w:val="4"/>
              <w:ind w:firstLine="360" w:firstLineChars="200"/>
              <w:rPr>
                <w:b/>
                <w:lang w:bidi="ar"/>
              </w:rPr>
            </w:pPr>
            <w:r>
              <w:rPr>
                <w:rFonts w:hint="eastAsia"/>
                <w:b/>
                <w:lang w:bidi="ar"/>
              </w:rPr>
              <w:t>（三）纳税地点</w:t>
            </w:r>
          </w:p>
          <w:p w14:paraId="1C1495C8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【教师】讲解消费税的纳税地点</w:t>
            </w:r>
          </w:p>
          <w:p w14:paraId="169CA6DA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（1）纳税人销售应税消费品，以及自产自用应税消费品，除国务院财政、税务主管部门另有规定外，应当向机构所在地或者居住地的税务机关申报纳税。</w:t>
            </w:r>
          </w:p>
          <w:p w14:paraId="5FC978AE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（2）纳税人委托加工应税消费品，除受托方为个人外，由受托方向其机构所在地或者居住地的税务机关申报纳税。受托方为个人的，由委托方向其机构所在地的税务机关申报纳税。</w:t>
            </w:r>
          </w:p>
          <w:p w14:paraId="52A2DCA7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（3）纳税人进口应税消费品，由进口人或者代理人向报关地海关申报纳税。</w:t>
            </w:r>
          </w:p>
          <w:p w14:paraId="64D455A5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（4）纳税人到外县（市）销售或者委托外县（市）代销自产应税消费品，于应税消费品销售后，向机构所在地或者居住地税务机关申报纳税。</w:t>
            </w:r>
          </w:p>
          <w:p w14:paraId="54281469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纳税人的总机构与分支机构不在同一县（市），但在同一省（自治区、直辖市）范围内，经省（自治区、直辖市）财政厅（局）、税务局审批同意，可以由总机构汇总向总机构所在地的主管税务机关申报纳税。</w:t>
            </w:r>
          </w:p>
          <w:p w14:paraId="4BF52F79">
            <w:pPr>
              <w:pStyle w:val="4"/>
              <w:ind w:firstLine="360" w:firstLineChars="200"/>
              <w:rPr>
                <w:b/>
                <w:lang w:bidi="ar"/>
              </w:rPr>
            </w:pPr>
            <w:r>
              <w:rPr>
                <w:rFonts w:hint="eastAsia"/>
                <w:b/>
                <w:lang w:bidi="ar"/>
              </w:rPr>
              <w:t>二、纳税申报</w:t>
            </w:r>
          </w:p>
          <w:p w14:paraId="4023637E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【教师】讲解消费税的纳税申报如何填写</w:t>
            </w:r>
          </w:p>
          <w:p w14:paraId="3AD56FDB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消费税的纳税人应按照税法的有关规定及时办理纳税申报，并如实填写《消费税及附加税费申报表》（见表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/>
                <w:lang w:bidi="ar"/>
              </w:rPr>
              <w:t>-</w:t>
            </w:r>
            <w:r>
              <w:rPr>
                <w:rFonts w:hint="eastAsia"/>
                <w:lang w:val="en-US" w:eastAsia="zh-CN" w:bidi="ar"/>
              </w:rPr>
              <w:t>4</w:t>
            </w:r>
            <w:r>
              <w:rPr>
                <w:rFonts w:hint="eastAsia"/>
                <w:lang w:bidi="ar"/>
              </w:rPr>
              <w:t>）。</w:t>
            </w:r>
          </w:p>
          <w:p w14:paraId="6847C8ED">
            <w:pPr>
              <w:shd w:val="clear" w:color="auto" w:fill="FDF3ED"/>
              <w:ind w:firstLine="360" w:firstLineChars="200"/>
              <w:rPr>
                <w:rFonts w:ascii="MS Gothic" w:hAnsi="MS Gothic" w:cs="MS Gothic" w:eastAsiaTheme="minorEastAsia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【多媒体教学】</w:t>
            </w:r>
          </w:p>
          <w:p w14:paraId="3C522003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【教师】组织学生扫码观看“表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  <w:lang w:val="en-US" w:eastAsia="zh-CN"/>
              </w:rPr>
              <w:t>3</w:t>
            </w:r>
            <w:r>
              <w:rPr>
                <w:rFonts w:ascii="微软雅黑" w:hAnsi="微软雅黑" w:eastAsia="微软雅黑" w:cs="MS Mincho"/>
                <w:b/>
                <w:sz w:val="18"/>
                <w:szCs w:val="18"/>
              </w:rPr>
              <w:t>-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  <w:lang w:val="en-US" w:eastAsia="zh-CN"/>
              </w:rPr>
              <w:t>4</w:t>
            </w:r>
            <w:r>
              <w:rPr>
                <w:rFonts w:ascii="微软雅黑" w:hAnsi="微软雅黑" w:eastAsia="微软雅黑" w:cs="MS Mincho"/>
                <w:b/>
                <w:sz w:val="18"/>
                <w:szCs w:val="18"/>
              </w:rPr>
              <w:t>填写说明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”和“消费税及附加税费网上申报纳税操作步骤”视频，帮助学生掌握消费税及附加税费网上申报纳税的操作步骤</w:t>
            </w:r>
          </w:p>
          <w:p w14:paraId="266555D5">
            <w:pPr>
              <w:shd w:val="clear" w:color="auto" w:fill="FDF3ED"/>
              <w:ind w:firstLine="361" w:firstLineChars="200"/>
              <w:rPr>
                <w:rFonts w:ascii="微软雅黑" w:hAnsi="微软雅黑" w:eastAsia="微软雅黑" w:cs="MS Mincho"/>
                <w:b/>
                <w:sz w:val="18"/>
                <w:szCs w:val="18"/>
              </w:rPr>
            </w:pPr>
            <w:r>
              <w:rPr>
                <w:rFonts w:hint="eastAsia" w:ascii="MS Gothic" w:hAnsi="MS Gothic" w:eastAsia="MS Gothic" w:cs="MS Gothic"/>
                <w:b/>
                <w:sz w:val="18"/>
                <w:szCs w:val="18"/>
              </w:rPr>
              <w:t>✈</w:t>
            </w:r>
            <w:r>
              <w:rPr>
                <w:rFonts w:hint="eastAsia" w:ascii="微软雅黑" w:hAnsi="微软雅黑" w:eastAsia="微软雅黑" w:cs="MS Mincho"/>
                <w:b/>
                <w:sz w:val="18"/>
                <w:szCs w:val="18"/>
              </w:rPr>
              <w:t>【学生】观看</w:t>
            </w:r>
            <w:r>
              <w:rPr>
                <w:rFonts w:ascii="微软雅黑" w:hAnsi="微软雅黑" w:eastAsia="微软雅黑" w:cs="MS Mincho"/>
                <w:b/>
                <w:sz w:val="18"/>
                <w:szCs w:val="18"/>
              </w:rPr>
              <w:t>、思考、理解</w:t>
            </w:r>
          </w:p>
          <w:p w14:paraId="5D8DBF1F">
            <w:pPr>
              <w:pStyle w:val="4"/>
              <w:ind w:firstLine="360" w:firstLineChars="200"/>
              <w:jc w:val="center"/>
              <w:rPr>
                <w:lang w:bidi="ar"/>
              </w:rPr>
            </w:pPr>
            <w:r>
              <w:rPr>
                <w:rFonts w:hint="eastAsia"/>
                <w:lang w:bidi="ar"/>
              </w:rPr>
              <w:t>表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/>
                <w:lang w:bidi="ar"/>
              </w:rPr>
              <w:t>-</w:t>
            </w:r>
            <w:r>
              <w:rPr>
                <w:rFonts w:hint="eastAsia"/>
                <w:lang w:val="en-US" w:eastAsia="zh-CN" w:bidi="ar"/>
              </w:rPr>
              <w:t>4</w:t>
            </w:r>
            <w:r>
              <w:rPr>
                <w:rFonts w:hint="eastAsia"/>
                <w:lang w:bidi="ar"/>
              </w:rPr>
              <w:t xml:space="preserve">  消费税及附加税费申报表</w:t>
            </w:r>
          </w:p>
          <w:p w14:paraId="1BED42EA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税款所属期：自    年   月   日至    年   月   日</w:t>
            </w:r>
          </w:p>
          <w:p w14:paraId="190B2818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纳税人识别号（统一社会信用代码）：□□□□□□□□□□□□□□□□□□</w:t>
            </w:r>
          </w:p>
          <w:p w14:paraId="3928B4C6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纳税人名称：                                             金额单位：人民币元（列至角分）</w:t>
            </w:r>
          </w:p>
          <w:tbl>
            <w:tblPr>
              <w:tblStyle w:val="2"/>
              <w:tblW w:w="8092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11"/>
              <w:gridCol w:w="669"/>
              <w:gridCol w:w="754"/>
              <w:gridCol w:w="989"/>
              <w:gridCol w:w="1701"/>
              <w:gridCol w:w="1534"/>
              <w:gridCol w:w="1034"/>
            </w:tblGrid>
            <w:tr w14:paraId="2C4222A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1411" w:type="dxa"/>
                  <w:vMerge w:val="restart"/>
                  <w:tcBorders>
                    <w:top w:val="single" w:color="auto" w:sz="4" w:space="0"/>
                    <w:left w:val="single" w:color="auto" w:sz="4" w:space="0"/>
                    <w:tl2br w:val="single" w:color="auto" w:sz="4" w:space="0"/>
                  </w:tcBorders>
                  <w:shd w:val="clear" w:color="auto" w:fill="DAE3F4" w:themeFill="accent1" w:themeFillTint="33"/>
                </w:tcPr>
                <w:p w14:paraId="77CD43A1">
                  <w:pPr>
                    <w:pStyle w:val="4"/>
                  </w:pPr>
                  <w:r>
                    <w:rPr>
                      <w:rFonts w:hint="eastAsia"/>
                    </w:rPr>
                    <w:t xml:space="preserve">        项目</w:t>
                  </w:r>
                </w:p>
                <w:p w14:paraId="4F0F31FD">
                  <w:pPr>
                    <w:pStyle w:val="4"/>
                  </w:pPr>
                </w:p>
                <w:p w14:paraId="03821BFA">
                  <w:pPr>
                    <w:pStyle w:val="4"/>
                    <w:spacing w:line="276" w:lineRule="auto"/>
                  </w:pPr>
                  <w:r>
                    <w:rPr>
                      <w:rFonts w:hint="eastAsia"/>
                    </w:rPr>
                    <w:t>应税</w:t>
                  </w:r>
                </w:p>
                <w:p w14:paraId="009DDAD6">
                  <w:pPr>
                    <w:pStyle w:val="4"/>
                    <w:spacing w:line="276" w:lineRule="auto"/>
                  </w:pPr>
                  <w:r>
                    <w:rPr>
                      <w:rFonts w:hint="eastAsia"/>
                    </w:rPr>
                    <w:t>消费品名称</w:t>
                  </w:r>
                </w:p>
              </w:tc>
              <w:tc>
                <w:tcPr>
                  <w:tcW w:w="1423" w:type="dxa"/>
                  <w:gridSpan w:val="2"/>
                  <w:tcBorders>
                    <w:top w:val="single" w:color="auto" w:sz="4" w:space="0"/>
                  </w:tcBorders>
                  <w:shd w:val="clear" w:color="auto" w:fill="DAE3F4" w:themeFill="accent1" w:themeFillTint="33"/>
                  <w:vAlign w:val="center"/>
                </w:tcPr>
                <w:p w14:paraId="4A9AD254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适用税率</w:t>
                  </w:r>
                </w:p>
              </w:tc>
              <w:tc>
                <w:tcPr>
                  <w:tcW w:w="989" w:type="dxa"/>
                  <w:vMerge w:val="restart"/>
                  <w:tcBorders>
                    <w:top w:val="single" w:color="auto" w:sz="4" w:space="0"/>
                  </w:tcBorders>
                  <w:shd w:val="clear" w:color="auto" w:fill="DAE3F4" w:themeFill="accent1" w:themeFillTint="33"/>
                  <w:vAlign w:val="center"/>
                </w:tcPr>
                <w:p w14:paraId="1BCC1447">
                  <w:pPr>
                    <w:pStyle w:val="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计量单位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color="auto" w:sz="4" w:space="0"/>
                  </w:tcBorders>
                  <w:shd w:val="clear" w:color="auto" w:fill="DAE3F4" w:themeFill="accent1" w:themeFillTint="33"/>
                  <w:vAlign w:val="center"/>
                </w:tcPr>
                <w:p w14:paraId="30849C4F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本期销售数量</w:t>
                  </w:r>
                </w:p>
              </w:tc>
              <w:tc>
                <w:tcPr>
                  <w:tcW w:w="1534" w:type="dxa"/>
                  <w:vMerge w:val="restart"/>
                  <w:tcBorders>
                    <w:top w:val="single" w:color="auto" w:sz="4" w:space="0"/>
                  </w:tcBorders>
                  <w:shd w:val="clear" w:color="auto" w:fill="DAE3F4" w:themeFill="accent1" w:themeFillTint="33"/>
                  <w:vAlign w:val="center"/>
                </w:tcPr>
                <w:p w14:paraId="2560F8F5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本期销售额</w:t>
                  </w:r>
                </w:p>
              </w:tc>
              <w:tc>
                <w:tcPr>
                  <w:tcW w:w="1034" w:type="dxa"/>
                  <w:vMerge w:val="restart"/>
                  <w:tcBorders>
                    <w:top w:val="single" w:color="auto" w:sz="4" w:space="0"/>
                    <w:right w:val="single" w:color="auto" w:sz="4" w:space="0"/>
                  </w:tcBorders>
                  <w:shd w:val="clear" w:color="auto" w:fill="DAE3F4" w:themeFill="accent1" w:themeFillTint="33"/>
                  <w:vAlign w:val="center"/>
                </w:tcPr>
                <w:p w14:paraId="2FA1C531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本期应纳税额</w:t>
                  </w:r>
                </w:p>
              </w:tc>
            </w:tr>
            <w:tr w14:paraId="6C3C0B9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1411" w:type="dxa"/>
                  <w:vMerge w:val="continue"/>
                  <w:tcBorders>
                    <w:left w:val="single" w:color="auto" w:sz="4" w:space="0"/>
                    <w:tl2br w:val="single" w:color="auto" w:sz="4" w:space="0"/>
                  </w:tcBorders>
                  <w:shd w:val="clear" w:color="auto" w:fill="DAE3F4" w:themeFill="accent1" w:themeFillTint="33"/>
                </w:tcPr>
                <w:p w14:paraId="2F479F7C">
                  <w:pPr>
                    <w:pStyle w:val="4"/>
                  </w:pPr>
                </w:p>
              </w:tc>
              <w:tc>
                <w:tcPr>
                  <w:tcW w:w="669" w:type="dxa"/>
                  <w:shd w:val="clear" w:color="auto" w:fill="DAE3F4" w:themeFill="accent1" w:themeFillTint="33"/>
                  <w:vAlign w:val="center"/>
                </w:tcPr>
                <w:p w14:paraId="594FE6A9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定额</w:t>
                  </w:r>
                  <w:r>
                    <w:br w:type="textWrapping"/>
                  </w:r>
                  <w:r>
                    <w:rPr>
                      <w:rFonts w:hint="eastAsia"/>
                    </w:rPr>
                    <w:t>税率</w:t>
                  </w:r>
                </w:p>
              </w:tc>
              <w:tc>
                <w:tcPr>
                  <w:tcW w:w="754" w:type="dxa"/>
                  <w:shd w:val="clear" w:color="auto" w:fill="DAE3F4" w:themeFill="accent1" w:themeFillTint="33"/>
                  <w:vAlign w:val="center"/>
                </w:tcPr>
                <w:p w14:paraId="522375D9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比例</w:t>
                  </w:r>
                  <w:r>
                    <w:br w:type="textWrapping"/>
                  </w:r>
                  <w:r>
                    <w:rPr>
                      <w:rFonts w:hint="eastAsia"/>
                    </w:rPr>
                    <w:t>税率</w:t>
                  </w:r>
                </w:p>
              </w:tc>
              <w:tc>
                <w:tcPr>
                  <w:tcW w:w="989" w:type="dxa"/>
                  <w:vMerge w:val="continue"/>
                  <w:shd w:val="clear" w:color="auto" w:fill="DAE3F4" w:themeFill="accent1" w:themeFillTint="33"/>
                </w:tcPr>
                <w:p w14:paraId="6D37D340">
                  <w:pPr>
                    <w:pStyle w:val="4"/>
                  </w:pPr>
                </w:p>
              </w:tc>
              <w:tc>
                <w:tcPr>
                  <w:tcW w:w="1701" w:type="dxa"/>
                  <w:vMerge w:val="continue"/>
                  <w:shd w:val="clear" w:color="auto" w:fill="DAE3F4" w:themeFill="accent1" w:themeFillTint="33"/>
                </w:tcPr>
                <w:p w14:paraId="0A5DA76B">
                  <w:pPr>
                    <w:pStyle w:val="4"/>
                  </w:pPr>
                </w:p>
              </w:tc>
              <w:tc>
                <w:tcPr>
                  <w:tcW w:w="1534" w:type="dxa"/>
                  <w:vMerge w:val="continue"/>
                  <w:shd w:val="clear" w:color="auto" w:fill="DAE3F4" w:themeFill="accent1" w:themeFillTint="33"/>
                </w:tcPr>
                <w:p w14:paraId="7A6CC10C">
                  <w:pPr>
                    <w:pStyle w:val="4"/>
                  </w:pPr>
                </w:p>
              </w:tc>
              <w:tc>
                <w:tcPr>
                  <w:tcW w:w="1034" w:type="dxa"/>
                  <w:vMerge w:val="continue"/>
                  <w:tcBorders>
                    <w:right w:val="single" w:color="auto" w:sz="4" w:space="0"/>
                  </w:tcBorders>
                  <w:shd w:val="clear" w:color="auto" w:fill="DAE3F4" w:themeFill="accent1" w:themeFillTint="33"/>
                </w:tcPr>
                <w:p w14:paraId="5789D42E">
                  <w:pPr>
                    <w:pStyle w:val="4"/>
                  </w:pPr>
                </w:p>
              </w:tc>
            </w:tr>
            <w:tr w14:paraId="0C92D13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1411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tl2br w:val="single" w:color="auto" w:sz="4" w:space="0"/>
                  </w:tcBorders>
                  <w:shd w:val="clear" w:color="auto" w:fill="DAE3F4" w:themeFill="accent1" w:themeFillTint="33"/>
                  <w:vAlign w:val="center"/>
                </w:tcPr>
                <w:p w14:paraId="4CF02558">
                  <w:pPr>
                    <w:pStyle w:val="4"/>
                    <w:jc w:val="center"/>
                  </w:pPr>
                </w:p>
              </w:tc>
              <w:tc>
                <w:tcPr>
                  <w:tcW w:w="669" w:type="dxa"/>
                  <w:shd w:val="clear" w:color="auto" w:fill="DAE3F4" w:themeFill="accent1" w:themeFillTint="33"/>
                  <w:vAlign w:val="center"/>
                </w:tcPr>
                <w:p w14:paraId="4E7E6A88">
                  <w:pPr>
                    <w:pStyle w:val="4"/>
                    <w:jc w:val="center"/>
                  </w:pPr>
                  <w:r>
                    <w:t>1</w:t>
                  </w:r>
                </w:p>
              </w:tc>
              <w:tc>
                <w:tcPr>
                  <w:tcW w:w="754" w:type="dxa"/>
                  <w:shd w:val="clear" w:color="auto" w:fill="DAE3F4" w:themeFill="accent1" w:themeFillTint="33"/>
                  <w:vAlign w:val="center"/>
                </w:tcPr>
                <w:p w14:paraId="3AAD5FC8">
                  <w:pPr>
                    <w:pStyle w:val="4"/>
                    <w:jc w:val="center"/>
                  </w:pPr>
                  <w:r>
                    <w:t>2</w:t>
                  </w:r>
                </w:p>
              </w:tc>
              <w:tc>
                <w:tcPr>
                  <w:tcW w:w="989" w:type="dxa"/>
                  <w:shd w:val="clear" w:color="auto" w:fill="DAE3F4" w:themeFill="accent1" w:themeFillTint="33"/>
                  <w:vAlign w:val="center"/>
                </w:tcPr>
                <w:p w14:paraId="798F88F7">
                  <w:pPr>
                    <w:pStyle w:val="4"/>
                    <w:jc w:val="center"/>
                  </w:pPr>
                  <w:r>
                    <w:t>3</w:t>
                  </w:r>
                </w:p>
              </w:tc>
              <w:tc>
                <w:tcPr>
                  <w:tcW w:w="1701" w:type="dxa"/>
                  <w:shd w:val="clear" w:color="auto" w:fill="DAE3F4" w:themeFill="accent1" w:themeFillTint="33"/>
                  <w:vAlign w:val="center"/>
                </w:tcPr>
                <w:p w14:paraId="2A9397F1">
                  <w:pPr>
                    <w:pStyle w:val="4"/>
                    <w:jc w:val="center"/>
                  </w:pPr>
                  <w:r>
                    <w:t>4</w:t>
                  </w:r>
                </w:p>
              </w:tc>
              <w:tc>
                <w:tcPr>
                  <w:tcW w:w="1534" w:type="dxa"/>
                  <w:shd w:val="clear" w:color="auto" w:fill="DAE3F4" w:themeFill="accent1" w:themeFillTint="33"/>
                  <w:vAlign w:val="center"/>
                </w:tcPr>
                <w:p w14:paraId="1C6479E4">
                  <w:pPr>
                    <w:pStyle w:val="4"/>
                    <w:jc w:val="center"/>
                  </w:pPr>
                  <w:r>
                    <w:t>5</w:t>
                  </w:r>
                </w:p>
              </w:tc>
              <w:tc>
                <w:tcPr>
                  <w:tcW w:w="1034" w:type="dxa"/>
                  <w:tcBorders>
                    <w:right w:val="single" w:color="auto" w:sz="4" w:space="0"/>
                  </w:tcBorders>
                  <w:shd w:val="clear" w:color="auto" w:fill="DAE3F4" w:themeFill="accent1" w:themeFillTint="33"/>
                  <w:vAlign w:val="center"/>
                </w:tcPr>
                <w:p w14:paraId="3CF88E77">
                  <w:pPr>
                    <w:pStyle w:val="4"/>
                    <w:jc w:val="center"/>
                  </w:pPr>
                  <w:r>
                    <w:t>6=1×4+2×5</w:t>
                  </w:r>
                </w:p>
              </w:tc>
            </w:tr>
            <w:tr w14:paraId="655DF90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1411" w:type="dxa"/>
                  <w:tcBorders>
                    <w:left w:val="single" w:color="auto" w:sz="4" w:space="0"/>
                  </w:tcBorders>
                  <w:vAlign w:val="center"/>
                </w:tcPr>
                <w:p w14:paraId="4A2CCB85">
                  <w:pPr>
                    <w:pStyle w:val="4"/>
                    <w:jc w:val="center"/>
                  </w:pPr>
                </w:p>
              </w:tc>
              <w:tc>
                <w:tcPr>
                  <w:tcW w:w="669" w:type="dxa"/>
                  <w:vAlign w:val="center"/>
                </w:tcPr>
                <w:p w14:paraId="1560328B">
                  <w:pPr>
                    <w:pStyle w:val="4"/>
                    <w:jc w:val="center"/>
                  </w:pPr>
                </w:p>
              </w:tc>
              <w:tc>
                <w:tcPr>
                  <w:tcW w:w="754" w:type="dxa"/>
                  <w:vAlign w:val="center"/>
                </w:tcPr>
                <w:p w14:paraId="02DCB919">
                  <w:pPr>
                    <w:pStyle w:val="4"/>
                    <w:jc w:val="center"/>
                  </w:pPr>
                </w:p>
              </w:tc>
              <w:tc>
                <w:tcPr>
                  <w:tcW w:w="989" w:type="dxa"/>
                  <w:vAlign w:val="center"/>
                </w:tcPr>
                <w:p w14:paraId="6256BDE9">
                  <w:pPr>
                    <w:pStyle w:val="4"/>
                    <w:jc w:val="center"/>
                  </w:pPr>
                </w:p>
              </w:tc>
              <w:tc>
                <w:tcPr>
                  <w:tcW w:w="1701" w:type="dxa"/>
                  <w:vAlign w:val="center"/>
                </w:tcPr>
                <w:p w14:paraId="5A363FFD">
                  <w:pPr>
                    <w:pStyle w:val="4"/>
                    <w:jc w:val="center"/>
                  </w:pPr>
                </w:p>
              </w:tc>
              <w:tc>
                <w:tcPr>
                  <w:tcW w:w="1534" w:type="dxa"/>
                  <w:vAlign w:val="center"/>
                </w:tcPr>
                <w:p w14:paraId="7B2A6EC3">
                  <w:pPr>
                    <w:pStyle w:val="4"/>
                    <w:jc w:val="center"/>
                  </w:pPr>
                </w:p>
              </w:tc>
              <w:tc>
                <w:tcPr>
                  <w:tcW w:w="1034" w:type="dxa"/>
                  <w:tcBorders>
                    <w:right w:val="single" w:color="auto" w:sz="4" w:space="0"/>
                  </w:tcBorders>
                  <w:vAlign w:val="center"/>
                </w:tcPr>
                <w:p w14:paraId="6AB20B52">
                  <w:pPr>
                    <w:pStyle w:val="4"/>
                    <w:jc w:val="center"/>
                  </w:pPr>
                </w:p>
              </w:tc>
            </w:tr>
            <w:tr w14:paraId="4756D4F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1411" w:type="dxa"/>
                  <w:tcBorders>
                    <w:left w:val="single" w:color="auto" w:sz="4" w:space="0"/>
                  </w:tcBorders>
                  <w:vAlign w:val="center"/>
                </w:tcPr>
                <w:p w14:paraId="32A24532">
                  <w:pPr>
                    <w:pStyle w:val="4"/>
                    <w:jc w:val="center"/>
                  </w:pPr>
                </w:p>
              </w:tc>
              <w:tc>
                <w:tcPr>
                  <w:tcW w:w="669" w:type="dxa"/>
                  <w:vAlign w:val="center"/>
                </w:tcPr>
                <w:p w14:paraId="449015AA">
                  <w:pPr>
                    <w:pStyle w:val="4"/>
                    <w:jc w:val="center"/>
                  </w:pPr>
                </w:p>
              </w:tc>
              <w:tc>
                <w:tcPr>
                  <w:tcW w:w="754" w:type="dxa"/>
                  <w:vAlign w:val="center"/>
                </w:tcPr>
                <w:p w14:paraId="5B11E7D7">
                  <w:pPr>
                    <w:pStyle w:val="4"/>
                    <w:jc w:val="center"/>
                    <w:rPr>
                      <w:rFonts w:ascii="宋体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14:paraId="54B79082">
                  <w:pPr>
                    <w:pStyle w:val="4"/>
                    <w:jc w:val="center"/>
                  </w:pPr>
                </w:p>
              </w:tc>
              <w:tc>
                <w:tcPr>
                  <w:tcW w:w="1701" w:type="dxa"/>
                  <w:vAlign w:val="center"/>
                </w:tcPr>
                <w:p w14:paraId="1873EAB5">
                  <w:pPr>
                    <w:pStyle w:val="4"/>
                    <w:jc w:val="center"/>
                  </w:pPr>
                </w:p>
              </w:tc>
              <w:tc>
                <w:tcPr>
                  <w:tcW w:w="1534" w:type="dxa"/>
                  <w:vAlign w:val="center"/>
                </w:tcPr>
                <w:p w14:paraId="785A3BD0">
                  <w:pPr>
                    <w:pStyle w:val="4"/>
                    <w:jc w:val="center"/>
                  </w:pPr>
                </w:p>
              </w:tc>
              <w:tc>
                <w:tcPr>
                  <w:tcW w:w="1034" w:type="dxa"/>
                  <w:tcBorders>
                    <w:right w:val="single" w:color="auto" w:sz="4" w:space="0"/>
                  </w:tcBorders>
                  <w:vAlign w:val="center"/>
                </w:tcPr>
                <w:p w14:paraId="7B3C7BDB">
                  <w:pPr>
                    <w:pStyle w:val="4"/>
                    <w:jc w:val="center"/>
                  </w:pPr>
                </w:p>
              </w:tc>
            </w:tr>
            <w:tr w14:paraId="51A5AC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1411" w:type="dxa"/>
                  <w:tcBorders>
                    <w:left w:val="single" w:color="auto" w:sz="4" w:space="0"/>
                  </w:tcBorders>
                  <w:vAlign w:val="center"/>
                </w:tcPr>
                <w:p w14:paraId="1FFEA90C">
                  <w:pPr>
                    <w:pStyle w:val="4"/>
                    <w:jc w:val="center"/>
                  </w:pPr>
                </w:p>
              </w:tc>
              <w:tc>
                <w:tcPr>
                  <w:tcW w:w="669" w:type="dxa"/>
                  <w:vAlign w:val="center"/>
                </w:tcPr>
                <w:p w14:paraId="25EBB596">
                  <w:pPr>
                    <w:pStyle w:val="4"/>
                    <w:jc w:val="center"/>
                  </w:pPr>
                </w:p>
              </w:tc>
              <w:tc>
                <w:tcPr>
                  <w:tcW w:w="754" w:type="dxa"/>
                  <w:vAlign w:val="center"/>
                </w:tcPr>
                <w:p w14:paraId="1E5778B8">
                  <w:pPr>
                    <w:pStyle w:val="4"/>
                    <w:jc w:val="center"/>
                    <w:rPr>
                      <w:rFonts w:ascii="宋体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14:paraId="2DD5690D">
                  <w:pPr>
                    <w:pStyle w:val="4"/>
                    <w:jc w:val="center"/>
                  </w:pPr>
                </w:p>
              </w:tc>
              <w:tc>
                <w:tcPr>
                  <w:tcW w:w="1701" w:type="dxa"/>
                  <w:vAlign w:val="center"/>
                </w:tcPr>
                <w:p w14:paraId="683D9619">
                  <w:pPr>
                    <w:pStyle w:val="4"/>
                    <w:jc w:val="center"/>
                  </w:pPr>
                </w:p>
              </w:tc>
              <w:tc>
                <w:tcPr>
                  <w:tcW w:w="1534" w:type="dxa"/>
                  <w:vAlign w:val="center"/>
                </w:tcPr>
                <w:p w14:paraId="0EBA56CA">
                  <w:pPr>
                    <w:pStyle w:val="4"/>
                    <w:jc w:val="center"/>
                  </w:pPr>
                </w:p>
              </w:tc>
              <w:tc>
                <w:tcPr>
                  <w:tcW w:w="1034" w:type="dxa"/>
                  <w:tcBorders>
                    <w:right w:val="single" w:color="auto" w:sz="4" w:space="0"/>
                  </w:tcBorders>
                  <w:vAlign w:val="center"/>
                </w:tcPr>
                <w:p w14:paraId="648CF0A2">
                  <w:pPr>
                    <w:pStyle w:val="4"/>
                    <w:jc w:val="center"/>
                  </w:pPr>
                </w:p>
              </w:tc>
            </w:tr>
            <w:tr w14:paraId="30A072A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1411" w:type="dxa"/>
                  <w:tcBorders>
                    <w:left w:val="single" w:color="auto" w:sz="4" w:space="0"/>
                  </w:tcBorders>
                  <w:vAlign w:val="center"/>
                </w:tcPr>
                <w:p w14:paraId="25DE7A4F">
                  <w:pPr>
                    <w:pStyle w:val="4"/>
                    <w:jc w:val="center"/>
                  </w:pPr>
                </w:p>
              </w:tc>
              <w:tc>
                <w:tcPr>
                  <w:tcW w:w="669" w:type="dxa"/>
                  <w:vAlign w:val="center"/>
                </w:tcPr>
                <w:p w14:paraId="4EF884F3">
                  <w:pPr>
                    <w:pStyle w:val="4"/>
                    <w:jc w:val="center"/>
                  </w:pPr>
                </w:p>
              </w:tc>
              <w:tc>
                <w:tcPr>
                  <w:tcW w:w="754" w:type="dxa"/>
                  <w:vAlign w:val="center"/>
                </w:tcPr>
                <w:p w14:paraId="421DAEAB">
                  <w:pPr>
                    <w:pStyle w:val="4"/>
                    <w:jc w:val="center"/>
                    <w:rPr>
                      <w:rFonts w:ascii="宋体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14:paraId="139AD208">
                  <w:pPr>
                    <w:pStyle w:val="4"/>
                    <w:jc w:val="center"/>
                  </w:pPr>
                </w:p>
              </w:tc>
              <w:tc>
                <w:tcPr>
                  <w:tcW w:w="1701" w:type="dxa"/>
                  <w:vAlign w:val="center"/>
                </w:tcPr>
                <w:p w14:paraId="141E1CC9">
                  <w:pPr>
                    <w:pStyle w:val="4"/>
                    <w:jc w:val="center"/>
                  </w:pPr>
                </w:p>
              </w:tc>
              <w:tc>
                <w:tcPr>
                  <w:tcW w:w="1534" w:type="dxa"/>
                  <w:vAlign w:val="center"/>
                </w:tcPr>
                <w:p w14:paraId="5CAF3B99">
                  <w:pPr>
                    <w:pStyle w:val="4"/>
                    <w:jc w:val="center"/>
                  </w:pPr>
                </w:p>
              </w:tc>
              <w:tc>
                <w:tcPr>
                  <w:tcW w:w="1034" w:type="dxa"/>
                  <w:tcBorders>
                    <w:right w:val="single" w:color="auto" w:sz="4" w:space="0"/>
                  </w:tcBorders>
                  <w:vAlign w:val="center"/>
                </w:tcPr>
                <w:p w14:paraId="356E46A6">
                  <w:pPr>
                    <w:pStyle w:val="4"/>
                    <w:jc w:val="center"/>
                  </w:pPr>
                </w:p>
              </w:tc>
            </w:tr>
            <w:tr w14:paraId="2C1B018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1411" w:type="dxa"/>
                  <w:tcBorders>
                    <w:left w:val="single" w:color="auto" w:sz="4" w:space="0"/>
                    <w:bottom w:val="single" w:color="auto" w:sz="4" w:space="0"/>
                  </w:tcBorders>
                  <w:vAlign w:val="center"/>
                </w:tcPr>
                <w:p w14:paraId="508C6BFF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合计</w:t>
                  </w:r>
                </w:p>
              </w:tc>
              <w:tc>
                <w:tcPr>
                  <w:tcW w:w="669" w:type="dxa"/>
                  <w:tcBorders>
                    <w:bottom w:val="single" w:color="auto" w:sz="4" w:space="0"/>
                  </w:tcBorders>
                  <w:vAlign w:val="center"/>
                </w:tcPr>
                <w:p w14:paraId="72C3CCF4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—</w:t>
                  </w:r>
                </w:p>
              </w:tc>
              <w:tc>
                <w:tcPr>
                  <w:tcW w:w="754" w:type="dxa"/>
                  <w:tcBorders>
                    <w:bottom w:val="single" w:color="auto" w:sz="4" w:space="0"/>
                  </w:tcBorders>
                  <w:vAlign w:val="center"/>
                </w:tcPr>
                <w:p w14:paraId="774E63DC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—</w:t>
                  </w:r>
                </w:p>
              </w:tc>
              <w:tc>
                <w:tcPr>
                  <w:tcW w:w="989" w:type="dxa"/>
                  <w:tcBorders>
                    <w:bottom w:val="single" w:color="auto" w:sz="4" w:space="0"/>
                  </w:tcBorders>
                  <w:vAlign w:val="center"/>
                </w:tcPr>
                <w:p w14:paraId="74C0DBCB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—</w:t>
                  </w:r>
                </w:p>
              </w:tc>
              <w:tc>
                <w:tcPr>
                  <w:tcW w:w="1701" w:type="dxa"/>
                  <w:vAlign w:val="center"/>
                </w:tcPr>
                <w:p w14:paraId="7497E656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—</w:t>
                  </w:r>
                </w:p>
              </w:tc>
              <w:tc>
                <w:tcPr>
                  <w:tcW w:w="1534" w:type="dxa"/>
                  <w:tcBorders>
                    <w:bottom w:val="single" w:color="auto" w:sz="4" w:space="0"/>
                  </w:tcBorders>
                  <w:vAlign w:val="center"/>
                </w:tcPr>
                <w:p w14:paraId="380A2187">
                  <w:pPr>
                    <w:pStyle w:val="4"/>
                    <w:jc w:val="center"/>
                  </w:pPr>
                  <w:r>
                    <w:rPr>
                      <w:rFonts w:hint="eastAsia" w:ascii="宋体" w:hAnsi="宋体"/>
                    </w:rPr>
                    <w:t>—</w:t>
                  </w:r>
                </w:p>
              </w:tc>
              <w:tc>
                <w:tcPr>
                  <w:tcW w:w="1034" w:type="dxa"/>
                  <w:tcBorders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71FCA7B">
                  <w:pPr>
                    <w:pStyle w:val="4"/>
                    <w:jc w:val="center"/>
                  </w:pPr>
                </w:p>
              </w:tc>
            </w:tr>
            <w:tr w14:paraId="2967BDC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3823" w:type="dxa"/>
                  <w:gridSpan w:val="4"/>
                  <w:tcBorders>
                    <w:left w:val="single" w:color="auto" w:sz="4" w:space="0"/>
                  </w:tcBorders>
                  <w:vAlign w:val="center"/>
                </w:tcPr>
                <w:p w14:paraId="71705FA0">
                  <w:pPr>
                    <w:pStyle w:val="4"/>
                    <w:jc w:val="center"/>
                  </w:pPr>
                </w:p>
              </w:tc>
              <w:tc>
                <w:tcPr>
                  <w:tcW w:w="1701" w:type="dxa"/>
                </w:tcPr>
                <w:p w14:paraId="69D38144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栏次</w:t>
                  </w:r>
                </w:p>
              </w:tc>
              <w:tc>
                <w:tcPr>
                  <w:tcW w:w="2568" w:type="dxa"/>
                  <w:gridSpan w:val="2"/>
                  <w:tcBorders>
                    <w:right w:val="single" w:color="auto" w:sz="4" w:space="0"/>
                  </w:tcBorders>
                </w:tcPr>
                <w:p w14:paraId="279EAF62">
                  <w:pPr>
                    <w:pStyle w:val="4"/>
                    <w:jc w:val="center"/>
                  </w:pPr>
                  <w:r>
                    <w:rPr>
                      <w:rFonts w:hint="eastAsia"/>
                    </w:rPr>
                    <w:t>本期税费额</w:t>
                  </w:r>
                </w:p>
              </w:tc>
            </w:tr>
            <w:tr w14:paraId="215EAA5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3823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31AAA5E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本期减（免）税额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0D9CEB2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7</w:t>
                  </w:r>
                </w:p>
              </w:tc>
              <w:tc>
                <w:tcPr>
                  <w:tcW w:w="2568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A8E908E">
                  <w:pPr>
                    <w:pStyle w:val="4"/>
                    <w:jc w:val="center"/>
                  </w:pPr>
                </w:p>
              </w:tc>
            </w:tr>
            <w:tr w14:paraId="6440F9B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3823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7F404A3">
                  <w:pPr>
                    <w:pStyle w:val="4"/>
                    <w:ind w:firstLine="180" w:firstLineChars="100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期初留抵税额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37CEFAC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8</w:t>
                  </w:r>
                </w:p>
              </w:tc>
              <w:tc>
                <w:tcPr>
                  <w:tcW w:w="2568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A5F2682">
                  <w:pPr>
                    <w:pStyle w:val="4"/>
                    <w:jc w:val="center"/>
                  </w:pPr>
                </w:p>
              </w:tc>
            </w:tr>
            <w:tr w14:paraId="02B3160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3823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8707AC7">
                  <w:pPr>
                    <w:pStyle w:val="4"/>
                    <w:ind w:firstLine="180" w:firstLineChars="100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本期准予扣除税额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899FB7C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9</w:t>
                  </w:r>
                </w:p>
              </w:tc>
              <w:tc>
                <w:tcPr>
                  <w:tcW w:w="2568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6C0E0CE">
                  <w:pPr>
                    <w:pStyle w:val="4"/>
                    <w:jc w:val="center"/>
                  </w:pPr>
                </w:p>
              </w:tc>
            </w:tr>
            <w:tr w14:paraId="49C7150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3823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39A674B">
                  <w:pPr>
                    <w:pStyle w:val="4"/>
                    <w:ind w:firstLine="180" w:firstLineChars="100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本期应扣除税额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85BF4C6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10=8+9</w:t>
                  </w:r>
                </w:p>
              </w:tc>
              <w:tc>
                <w:tcPr>
                  <w:tcW w:w="2568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2635F81">
                  <w:pPr>
                    <w:pStyle w:val="4"/>
                    <w:jc w:val="center"/>
                  </w:pPr>
                </w:p>
              </w:tc>
            </w:tr>
            <w:tr w14:paraId="06C1E04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3823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B3966B9">
                  <w:pPr>
                    <w:pStyle w:val="4"/>
                    <w:ind w:firstLine="180" w:firstLineChars="100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本期实际扣除税额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CE0BDA2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11</w:t>
                  </w:r>
                  <w:r>
                    <w:rPr>
                      <w:rFonts w:hint="eastAsia" w:ascii="宋体" w:hAnsi="宋体"/>
                    </w:rPr>
                    <w:t>[</w:t>
                  </w:r>
                  <w:r>
                    <w:rPr>
                      <w:rFonts w:hint="eastAsia"/>
                    </w:rPr>
                    <w:t>10</w:t>
                  </w:r>
                  <w:r>
                    <w:t>&lt;</w:t>
                  </w:r>
                  <w:r>
                    <w:rPr>
                      <w:rFonts w:hint="eastAsia"/>
                    </w:rPr>
                    <w:t>（6</w:t>
                  </w:r>
                  <w:r>
                    <w:rPr>
                      <w:sz w:val="15"/>
                      <w:szCs w:val="15"/>
                    </w:rPr>
                    <w:t>−</w:t>
                  </w:r>
                  <w:r>
                    <w:rPr>
                      <w:rFonts w:hint="eastAsia"/>
                    </w:rPr>
                    <w:t>7），则为10，否则为6</w:t>
                  </w:r>
                  <w:r>
                    <w:rPr>
                      <w:sz w:val="15"/>
                      <w:szCs w:val="15"/>
                    </w:rPr>
                    <w:t>−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 w:ascii="宋体" w:hAnsi="宋体"/>
                    </w:rPr>
                    <w:t>]</w:t>
                  </w:r>
                </w:p>
              </w:tc>
              <w:tc>
                <w:tcPr>
                  <w:tcW w:w="2568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8512FC4">
                  <w:pPr>
                    <w:pStyle w:val="4"/>
                    <w:jc w:val="center"/>
                  </w:pPr>
                </w:p>
              </w:tc>
            </w:tr>
            <w:tr w14:paraId="4F2DB20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3823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714FF3">
                  <w:pPr>
                    <w:pStyle w:val="4"/>
                    <w:ind w:firstLine="180" w:firstLineChars="100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期末留抵税额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80CA56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12=10</w:t>
                  </w:r>
                  <w:r>
                    <w:rPr>
                      <w:sz w:val="15"/>
                      <w:szCs w:val="15"/>
                    </w:rPr>
                    <w:t>−</w:t>
                  </w:r>
                  <w:r>
                    <w:rPr>
                      <w:rFonts w:hint="eastAsia"/>
                      <w:szCs w:val="18"/>
                    </w:rPr>
                    <w:t>11</w:t>
                  </w:r>
                </w:p>
              </w:tc>
              <w:tc>
                <w:tcPr>
                  <w:tcW w:w="2568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6831E89">
                  <w:pPr>
                    <w:pStyle w:val="4"/>
                    <w:jc w:val="center"/>
                  </w:pPr>
                </w:p>
              </w:tc>
            </w:tr>
            <w:tr w14:paraId="3CD6DBC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3823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029AD0A">
                  <w:pPr>
                    <w:pStyle w:val="4"/>
                    <w:ind w:firstLine="180" w:firstLineChars="100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本期预缴税额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EFC604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13</w:t>
                  </w:r>
                </w:p>
              </w:tc>
              <w:tc>
                <w:tcPr>
                  <w:tcW w:w="2568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B092D18">
                  <w:pPr>
                    <w:pStyle w:val="4"/>
                    <w:jc w:val="center"/>
                  </w:pPr>
                </w:p>
              </w:tc>
            </w:tr>
            <w:tr w14:paraId="6789BC1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3823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590A8FF">
                  <w:pPr>
                    <w:pStyle w:val="4"/>
                    <w:ind w:firstLine="180" w:firstLineChars="100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本期应补（退）税额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642216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14=6</w:t>
                  </w:r>
                  <w:r>
                    <w:rPr>
                      <w:sz w:val="15"/>
                      <w:szCs w:val="15"/>
                    </w:rPr>
                    <w:t>−</w:t>
                  </w:r>
                  <w:r>
                    <w:rPr>
                      <w:rFonts w:hint="eastAsia"/>
                      <w:szCs w:val="18"/>
                    </w:rPr>
                    <w:t>7</w:t>
                  </w:r>
                  <w:r>
                    <w:rPr>
                      <w:sz w:val="15"/>
                      <w:szCs w:val="15"/>
                    </w:rPr>
                    <w:t>−</w:t>
                  </w:r>
                  <w:r>
                    <w:rPr>
                      <w:rFonts w:hint="eastAsia"/>
                      <w:szCs w:val="18"/>
                    </w:rPr>
                    <w:t>11</w:t>
                  </w:r>
                  <w:r>
                    <w:rPr>
                      <w:sz w:val="15"/>
                      <w:szCs w:val="15"/>
                    </w:rPr>
                    <w:t>−</w:t>
                  </w:r>
                  <w:r>
                    <w:rPr>
                      <w:rFonts w:hint="eastAsia"/>
                      <w:szCs w:val="18"/>
                    </w:rPr>
                    <w:t>13</w:t>
                  </w:r>
                </w:p>
              </w:tc>
              <w:tc>
                <w:tcPr>
                  <w:tcW w:w="2568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0A5611A">
                  <w:pPr>
                    <w:pStyle w:val="4"/>
                    <w:jc w:val="center"/>
                  </w:pPr>
                </w:p>
              </w:tc>
            </w:tr>
            <w:tr w14:paraId="22A47B6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3823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F1C45C9">
                  <w:pPr>
                    <w:pStyle w:val="4"/>
                    <w:ind w:firstLine="180" w:firstLineChars="100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城市维护建设税本期应补（退）税额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7ACCB0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15</w:t>
                  </w:r>
                </w:p>
              </w:tc>
              <w:tc>
                <w:tcPr>
                  <w:tcW w:w="2568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D3D6131">
                  <w:pPr>
                    <w:pStyle w:val="4"/>
                    <w:jc w:val="center"/>
                  </w:pPr>
                </w:p>
              </w:tc>
            </w:tr>
            <w:tr w14:paraId="03923C1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3823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25D555B">
                  <w:pPr>
                    <w:pStyle w:val="4"/>
                    <w:ind w:firstLine="180" w:firstLineChars="100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教育费附加本期应补（退）费额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6973F3F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16</w:t>
                  </w:r>
                </w:p>
              </w:tc>
              <w:tc>
                <w:tcPr>
                  <w:tcW w:w="2568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A59A167">
                  <w:pPr>
                    <w:pStyle w:val="4"/>
                    <w:jc w:val="center"/>
                  </w:pPr>
                </w:p>
              </w:tc>
            </w:tr>
            <w:tr w14:paraId="05178E2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3823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30714E7">
                  <w:pPr>
                    <w:pStyle w:val="4"/>
                    <w:ind w:firstLine="180" w:firstLineChars="100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地方教育附加本期应补（退）费额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0E894F2">
                  <w:pPr>
                    <w:pStyle w:val="4"/>
                    <w:jc w:val="center"/>
                    <w:rPr>
                      <w:szCs w:val="18"/>
                    </w:rPr>
                  </w:pPr>
                  <w:r>
                    <w:rPr>
                      <w:rFonts w:hint="eastAsia"/>
                      <w:szCs w:val="18"/>
                    </w:rPr>
                    <w:t>17</w:t>
                  </w:r>
                </w:p>
              </w:tc>
              <w:tc>
                <w:tcPr>
                  <w:tcW w:w="2568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DF5694C">
                  <w:pPr>
                    <w:pStyle w:val="4"/>
                    <w:jc w:val="center"/>
                  </w:pPr>
                </w:p>
              </w:tc>
            </w:tr>
            <w:tr w14:paraId="3C0A318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  <w:jc w:val="center"/>
              </w:trPr>
              <w:tc>
                <w:tcPr>
                  <w:tcW w:w="8092" w:type="dxa"/>
                  <w:gridSpan w:val="7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1B872CE8">
                  <w:pPr>
                    <w:pStyle w:val="4"/>
                    <w:ind w:firstLine="180" w:firstLineChars="100"/>
                  </w:pPr>
                  <w:r>
                    <w:rPr>
                      <w:rFonts w:hint="eastAsia"/>
                    </w:rPr>
                    <w:t>声明：此表是根据国家税收法律法规及相关规定填写的，本人（单位）对填报内容（及附带资料）的真实性、可靠性、完整性负责。</w:t>
                  </w:r>
                </w:p>
                <w:p w14:paraId="2CB82B14">
                  <w:pPr>
                    <w:pStyle w:val="4"/>
                    <w:jc w:val="right"/>
                  </w:pPr>
                  <w:r>
                    <w:rPr>
                      <w:rFonts w:hint="eastAsia"/>
                    </w:rPr>
                    <w:t xml:space="preserve">纳税人（签章）： </w:t>
                  </w:r>
                  <w:r>
                    <w:t xml:space="preserve">           </w:t>
                  </w:r>
                  <w:r>
                    <w:rPr>
                      <w:rFonts w:hint="eastAsia"/>
                    </w:rPr>
                    <w:t xml:space="preserve">年 </w:t>
                  </w:r>
                  <w:r>
                    <w:t xml:space="preserve">  </w:t>
                  </w:r>
                  <w:r>
                    <w:rPr>
                      <w:rFonts w:hint="eastAsia"/>
                    </w:rPr>
                    <w:t xml:space="preserve">月 </w:t>
                  </w:r>
                  <w:r>
                    <w:t xml:space="preserve">  </w:t>
                  </w:r>
                  <w:r>
                    <w:rPr>
                      <w:rFonts w:hint="eastAsia"/>
                    </w:rPr>
                    <w:t>日</w:t>
                  </w:r>
                </w:p>
              </w:tc>
            </w:tr>
            <w:tr w14:paraId="490A5B8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25" w:hRule="atLeast"/>
                <w:jc w:val="center"/>
              </w:trPr>
              <w:tc>
                <w:tcPr>
                  <w:tcW w:w="3823" w:type="dxa"/>
                  <w:gridSpan w:val="4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706AAFC">
                  <w:pPr>
                    <w:pStyle w:val="4"/>
                    <w:ind w:firstLine="180" w:firstLineChars="100"/>
                    <w:jc w:val="left"/>
                    <w:rPr>
                      <w:rFonts w:ascii="宋体" w:hAnsi="宋体"/>
                      <w:szCs w:val="18"/>
                    </w:rPr>
                  </w:pPr>
                  <w:r>
                    <w:rPr>
                      <w:rFonts w:hint="eastAsia" w:ascii="宋体" w:hAnsi="宋体"/>
                      <w:szCs w:val="18"/>
                    </w:rPr>
                    <w:t>经办人：</w:t>
                  </w:r>
                </w:p>
                <w:p w14:paraId="40A88002">
                  <w:pPr>
                    <w:pStyle w:val="4"/>
                    <w:ind w:firstLine="180" w:firstLineChars="100"/>
                    <w:jc w:val="left"/>
                    <w:rPr>
                      <w:rFonts w:ascii="宋体" w:hAnsi="宋体"/>
                      <w:szCs w:val="18"/>
                    </w:rPr>
                  </w:pPr>
                  <w:r>
                    <w:rPr>
                      <w:rFonts w:hint="eastAsia" w:ascii="宋体" w:hAnsi="宋体"/>
                      <w:szCs w:val="18"/>
                    </w:rPr>
                    <w:t>经办人身份证号：</w:t>
                  </w:r>
                </w:p>
                <w:p w14:paraId="76A8C86B">
                  <w:pPr>
                    <w:pStyle w:val="4"/>
                    <w:ind w:firstLine="180" w:firstLineChars="100"/>
                    <w:jc w:val="left"/>
                    <w:rPr>
                      <w:rFonts w:ascii="宋体" w:hAnsi="宋体"/>
                      <w:szCs w:val="18"/>
                    </w:rPr>
                  </w:pPr>
                  <w:r>
                    <w:rPr>
                      <w:rFonts w:hint="eastAsia" w:ascii="宋体" w:hAnsi="宋体"/>
                      <w:szCs w:val="18"/>
                    </w:rPr>
                    <w:t>代理机构签章：</w:t>
                  </w:r>
                </w:p>
                <w:p w14:paraId="721C4B8F">
                  <w:pPr>
                    <w:pStyle w:val="4"/>
                    <w:ind w:firstLine="180" w:firstLineChars="100"/>
                    <w:jc w:val="left"/>
                  </w:pPr>
                  <w:r>
                    <w:rPr>
                      <w:rFonts w:hint="eastAsia" w:ascii="宋体" w:hAnsi="宋体"/>
                      <w:szCs w:val="18"/>
                    </w:rPr>
                    <w:t>代理机构统一社会信用代码：</w:t>
                  </w:r>
                </w:p>
              </w:tc>
              <w:tc>
                <w:tcPr>
                  <w:tcW w:w="4269" w:type="dxa"/>
                  <w:gridSpan w:val="3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241E250">
                  <w:pPr>
                    <w:pStyle w:val="4"/>
                    <w:pBdr>
                      <w:right w:val="single" w:color="auto" w:sz="4" w:space="4"/>
                    </w:pBdr>
                    <w:ind w:firstLine="180" w:firstLineChars="100"/>
                    <w:jc w:val="left"/>
                    <w:rPr>
                      <w:rFonts w:ascii="宋体" w:hAnsi="宋体"/>
                      <w:szCs w:val="18"/>
                    </w:rPr>
                  </w:pPr>
                  <w:r>
                    <w:rPr>
                      <w:rFonts w:hint="eastAsia" w:ascii="宋体" w:hAnsi="宋体"/>
                      <w:szCs w:val="18"/>
                    </w:rPr>
                    <w:t>受理人：</w:t>
                  </w:r>
                </w:p>
                <w:p w14:paraId="5EB4FC33">
                  <w:pPr>
                    <w:pStyle w:val="4"/>
                    <w:pBdr>
                      <w:right w:val="single" w:color="auto" w:sz="4" w:space="4"/>
                    </w:pBdr>
                    <w:ind w:firstLine="180" w:firstLineChars="100"/>
                    <w:jc w:val="left"/>
                    <w:rPr>
                      <w:rFonts w:ascii="宋体" w:hAnsi="宋体"/>
                      <w:szCs w:val="18"/>
                    </w:rPr>
                  </w:pPr>
                  <w:r>
                    <w:rPr>
                      <w:rFonts w:hint="eastAsia" w:ascii="宋体" w:hAnsi="宋体"/>
                      <w:szCs w:val="18"/>
                    </w:rPr>
                    <w:t>受理税务机关（章）：</w:t>
                  </w:r>
                </w:p>
                <w:p w14:paraId="27CBE7D2">
                  <w:pPr>
                    <w:pStyle w:val="4"/>
                    <w:pBdr>
                      <w:right w:val="single" w:color="auto" w:sz="4" w:space="4"/>
                    </w:pBdr>
                    <w:ind w:firstLine="180" w:firstLineChars="100"/>
                    <w:jc w:val="left"/>
                  </w:pPr>
                  <w:r>
                    <w:rPr>
                      <w:rFonts w:hint="eastAsia" w:ascii="宋体" w:hAnsi="宋体"/>
                      <w:szCs w:val="18"/>
                    </w:rPr>
                    <w:t>受理日期：</w:t>
                  </w:r>
                  <w:r>
                    <w:rPr>
                      <w:rFonts w:ascii="宋体" w:hAnsi="宋体"/>
                      <w:szCs w:val="18"/>
                    </w:rPr>
                    <w:t xml:space="preserve">                         </w:t>
                  </w:r>
                  <w:r>
                    <w:rPr>
                      <w:rFonts w:hint="eastAsia" w:ascii="宋体" w:hAnsi="宋体"/>
                      <w:szCs w:val="18"/>
                    </w:rPr>
                    <w:t xml:space="preserve">年 </w:t>
                  </w:r>
                  <w:r>
                    <w:rPr>
                      <w:rFonts w:ascii="宋体" w:hAnsi="宋体"/>
                      <w:szCs w:val="18"/>
                    </w:rPr>
                    <w:t xml:space="preserve">  </w:t>
                  </w:r>
                  <w:r>
                    <w:rPr>
                      <w:rFonts w:hint="eastAsia" w:ascii="宋体" w:hAnsi="宋体"/>
                      <w:szCs w:val="18"/>
                    </w:rPr>
                    <w:t xml:space="preserve">月 </w:t>
                  </w:r>
                  <w:r>
                    <w:rPr>
                      <w:rFonts w:ascii="宋体" w:hAnsi="宋体"/>
                      <w:szCs w:val="18"/>
                    </w:rPr>
                    <w:t xml:space="preserve">  </w:t>
                  </w:r>
                  <w:r>
                    <w:rPr>
                      <w:rFonts w:hint="eastAsia" w:ascii="宋体" w:hAnsi="宋体"/>
                      <w:szCs w:val="18"/>
                    </w:rPr>
                    <w:t>日</w:t>
                  </w:r>
                </w:p>
              </w:tc>
            </w:tr>
          </w:tbl>
          <w:p w14:paraId="03C5E3E8">
            <w:pPr>
              <w:pStyle w:val="4"/>
              <w:ind w:firstLine="360" w:firstLineChars="200"/>
              <w:rPr>
                <w:lang w:bidi="ar"/>
              </w:rPr>
            </w:pPr>
            <w:r>
              <w:rPr>
                <w:rFonts w:hint="eastAsia"/>
                <w:lang w:bidi="ar"/>
              </w:rPr>
              <w:t>注：本表第15、16、17栏的填写说明详见项目五。</w:t>
            </w:r>
          </w:p>
          <w:p w14:paraId="436B21DF">
            <w:pPr>
              <w:pStyle w:val="4"/>
              <w:ind w:left="-168" w:leftChars="-84" w:firstLine="360" w:firstLineChars="200"/>
              <w:rPr>
                <w:rFonts w:ascii="微软雅黑" w:hAnsi="微软雅黑"/>
                <w:b/>
                <w:color w:val="833C0B"/>
              </w:rPr>
            </w:pPr>
            <w:r>
              <w:rPr>
                <w:rFonts w:hint="eastAsia" w:ascii="微软雅黑" w:hAnsi="微软雅黑"/>
                <w:b/>
                <w:color w:val="833C0B"/>
              </w:rPr>
              <w:t>【学生】聆听、思考、</w:t>
            </w:r>
            <w:r>
              <w:rPr>
                <w:rFonts w:ascii="微软雅黑" w:hAnsi="微软雅黑"/>
                <w:b/>
                <w:color w:val="833C0B"/>
              </w:rPr>
              <w:t>理解、记录</w:t>
            </w:r>
          </w:p>
        </w:tc>
      </w:tr>
      <w:tr w14:paraId="4941B02B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5" w:type="dxa"/>
            <w:shd w:val="clear" w:color="auto" w:fill="DEEAF6"/>
            <w:vAlign w:val="center"/>
          </w:tcPr>
          <w:p w14:paraId="022BCF9B">
            <w:pPr>
              <w:pStyle w:val="4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课堂实践</w:t>
            </w:r>
          </w:p>
        </w:tc>
        <w:tc>
          <w:tcPr>
            <w:tcW w:w="8363" w:type="dxa"/>
            <w:gridSpan w:val="2"/>
            <w:shd w:val="clear" w:color="auto" w:fill="FFFFFF"/>
            <w:vAlign w:val="center"/>
          </w:tcPr>
          <w:p w14:paraId="7E2D0200">
            <w:pPr>
              <w:pStyle w:val="4"/>
              <w:ind w:firstLine="180" w:firstLineChars="100"/>
              <w:rPr>
                <w:rFonts w:ascii="微软雅黑" w:hAnsi="微软雅黑"/>
                <w:b/>
                <w:color w:val="1F4E79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</w:t>
            </w:r>
            <w:r>
              <w:rPr>
                <w:rFonts w:ascii="微软雅黑" w:hAnsi="微软雅黑"/>
                <w:b/>
                <w:color w:val="1F4E79"/>
              </w:rPr>
              <w:t>组织学生</w:t>
            </w:r>
            <w:r>
              <w:rPr>
                <w:rFonts w:hint="eastAsia" w:ascii="微软雅黑" w:hAnsi="微软雅黑"/>
                <w:b/>
                <w:color w:val="1F4E79"/>
              </w:rPr>
              <w:t>观看“纳税申报表填写示例</w:t>
            </w:r>
            <w:r>
              <w:rPr>
                <w:rFonts w:ascii="微软雅黑" w:hAnsi="微软雅黑"/>
                <w:b/>
                <w:color w:val="1F4E79"/>
              </w:rPr>
              <w:t>”</w:t>
            </w:r>
            <w:r>
              <w:rPr>
                <w:rFonts w:hint="eastAsia" w:ascii="微软雅黑" w:hAnsi="微软雅黑"/>
                <w:b/>
                <w:color w:val="1F4E79"/>
              </w:rPr>
              <w:t>视频，然后填写相关纳税申报表</w:t>
            </w:r>
          </w:p>
          <w:p w14:paraId="48749128">
            <w:pPr>
              <w:pStyle w:val="4"/>
              <w:ind w:left="-168" w:leftChars="-84" w:firstLine="360" w:firstLineChars="200"/>
              <w:rPr>
                <w:rFonts w:ascii="微软雅黑" w:hAnsi="微软雅黑"/>
                <w:b/>
                <w:color w:val="833C0B"/>
              </w:rPr>
            </w:pPr>
            <w:r>
              <w:rPr>
                <w:rFonts w:hint="eastAsia" w:ascii="微软雅黑" w:hAnsi="微软雅黑"/>
                <w:b/>
                <w:color w:val="833C0B"/>
              </w:rPr>
              <w:t>【学生】回顾、思考、小组讨论</w:t>
            </w:r>
            <w:r>
              <w:rPr>
                <w:rFonts w:ascii="微软雅黑" w:hAnsi="微软雅黑"/>
                <w:b/>
                <w:color w:val="833C0B"/>
              </w:rPr>
              <w:t>、</w:t>
            </w:r>
            <w:r>
              <w:rPr>
                <w:rFonts w:hint="eastAsia" w:ascii="微软雅黑" w:hAnsi="微软雅黑"/>
                <w:b/>
                <w:color w:val="833C0B"/>
              </w:rPr>
              <w:t>填写相关纳税申报表，由小组代表上台展示填写结果</w:t>
            </w:r>
          </w:p>
          <w:p w14:paraId="72A17AF5">
            <w:pPr>
              <w:pStyle w:val="4"/>
              <w:ind w:left="200" w:leftChars="100"/>
              <w:rPr>
                <w:rFonts w:ascii="微软雅黑" w:hAnsi="微软雅黑"/>
                <w:b/>
                <w:color w:val="1F4E79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【教师】公布填写正确的纳税申报表，并讲解填写</w:t>
            </w:r>
            <w:r>
              <w:rPr>
                <w:rFonts w:ascii="微软雅黑" w:hAnsi="微软雅黑"/>
                <w:b/>
                <w:color w:val="1F4E79"/>
              </w:rPr>
              <w:t>步骤</w:t>
            </w:r>
          </w:p>
          <w:p w14:paraId="72D1772D">
            <w:pPr>
              <w:pStyle w:val="4"/>
              <w:ind w:firstLine="360" w:firstLineChars="200"/>
              <w:rPr>
                <w:rFonts w:ascii="微软雅黑" w:hAnsi="微软雅黑"/>
                <w:kern w:val="2"/>
                <w:szCs w:val="18"/>
                <w:lang w:val="zh-CN" w:eastAsia="zh-CN"/>
              </w:rPr>
            </w:pPr>
            <w:r>
              <w:rPr>
                <w:rFonts w:hint="eastAsia" w:ascii="微软雅黑" w:hAnsi="微软雅黑"/>
                <w:b/>
                <w:kern w:val="2"/>
                <w:szCs w:val="18"/>
                <w:lang w:val="zh-CN"/>
              </w:rPr>
              <w:t>【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 w:eastAsia="zh-CN"/>
              </w:rPr>
              <w:t>步骤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/>
              </w:rPr>
              <w:t>1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 w:eastAsia="zh-CN"/>
              </w:rPr>
              <w:t>】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填写《消费税及附加税费申报表》的附表《本期准予扣除税额计算表》。</w:t>
            </w:r>
          </w:p>
          <w:p w14:paraId="53F454DA">
            <w:pPr>
              <w:pStyle w:val="4"/>
              <w:ind w:firstLine="360" w:firstLineChars="200"/>
              <w:rPr>
                <w:rFonts w:ascii="微软雅黑" w:hAnsi="微软雅黑"/>
                <w:kern w:val="2"/>
                <w:szCs w:val="18"/>
                <w:lang w:val="zh-CN" w:eastAsia="zh-CN"/>
              </w:rPr>
            </w:pPr>
            <w:r>
              <w:rPr>
                <w:rFonts w:hint="eastAsia" w:ascii="微软雅黑" w:hAnsi="微软雅黑"/>
                <w:b/>
                <w:kern w:val="2"/>
                <w:szCs w:val="18"/>
                <w:lang w:val="zh-CN"/>
              </w:rPr>
              <w:t>【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 w:eastAsia="zh-CN"/>
              </w:rPr>
              <w:t>步骤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/>
              </w:rPr>
              <w:t>2</w:t>
            </w:r>
            <w:r>
              <w:rPr>
                <w:rFonts w:hint="eastAsia" w:ascii="微软雅黑" w:hAnsi="微软雅黑"/>
                <w:b/>
                <w:kern w:val="2"/>
                <w:szCs w:val="18"/>
                <w:lang w:val="zh-CN" w:eastAsia="zh-CN"/>
              </w:rPr>
              <w:t>】</w:t>
            </w:r>
            <w:r>
              <w:rPr>
                <w:rFonts w:hint="eastAsia" w:ascii="微软雅黑" w:hAnsi="微软雅黑"/>
                <w:kern w:val="2"/>
                <w:szCs w:val="18"/>
                <w:lang w:val="zh-CN" w:eastAsia="zh-CN"/>
              </w:rPr>
              <w:t>填写《消费税及附加税费申报表》。</w:t>
            </w:r>
          </w:p>
          <w:p w14:paraId="41D4965B">
            <w:pPr>
              <w:pStyle w:val="4"/>
              <w:ind w:left="-168" w:leftChars="-84" w:firstLine="360" w:firstLineChars="200"/>
              <w:rPr>
                <w:rFonts w:ascii="微软雅黑" w:hAnsi="微软雅黑"/>
                <w:b/>
                <w:color w:val="833C0B"/>
              </w:rPr>
            </w:pPr>
            <w:r>
              <w:rPr>
                <w:rFonts w:hint="eastAsia" w:ascii="微软雅黑" w:hAnsi="微软雅黑"/>
                <w:b/>
                <w:color w:val="833C0B"/>
              </w:rPr>
              <w:t>【学生】聆听、思考、理解、记录</w:t>
            </w:r>
          </w:p>
        </w:tc>
      </w:tr>
      <w:tr w14:paraId="645735D9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5" w:type="dxa"/>
            <w:shd w:val="clear" w:color="auto" w:fill="DEEAF6"/>
            <w:vAlign w:val="center"/>
          </w:tcPr>
          <w:p w14:paraId="5732412E">
            <w:pPr>
              <w:pStyle w:val="4"/>
              <w:jc w:val="center"/>
            </w:pPr>
            <w:r>
              <w:rPr>
                <w:rFonts w:hint="eastAsia" w:ascii="微软雅黑" w:hAnsi="微软雅黑"/>
                <w:b/>
              </w:rPr>
              <w:t>课堂小结</w:t>
            </w:r>
          </w:p>
        </w:tc>
        <w:tc>
          <w:tcPr>
            <w:tcW w:w="8363" w:type="dxa"/>
            <w:gridSpan w:val="2"/>
            <w:shd w:val="clear" w:color="auto" w:fill="FFFFFF"/>
            <w:vAlign w:val="center"/>
          </w:tcPr>
          <w:p w14:paraId="0ED9A39B">
            <w:pPr>
              <w:pStyle w:val="4"/>
              <w:spacing w:before="160" w:after="120"/>
              <w:ind w:firstLine="180" w:firstLineChars="100"/>
              <w:rPr>
                <w:rFonts w:ascii="微软雅黑" w:hAnsi="微软雅黑"/>
                <w:b/>
                <w:color w:val="1F4E79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【教师】教师总结本节课的要点</w:t>
            </w:r>
          </w:p>
          <w:p w14:paraId="23A68343">
            <w:pPr>
              <w:pStyle w:val="4"/>
              <w:ind w:firstLine="360" w:firstLineChars="200"/>
            </w:pPr>
            <w:r>
              <w:rPr>
                <w:rFonts w:hint="eastAsia"/>
              </w:rPr>
              <w:t>消费税</w:t>
            </w:r>
            <w:r>
              <w:t>纳税义务发生的时间、纳税期限纳税地点</w:t>
            </w:r>
          </w:p>
          <w:p w14:paraId="61759081">
            <w:pPr>
              <w:pStyle w:val="4"/>
              <w:ind w:firstLine="360" w:firstLineChars="200"/>
            </w:pPr>
            <w:r>
              <w:rPr>
                <w:rFonts w:hint="eastAsia"/>
              </w:rPr>
              <w:t>消费税的纳税申报</w:t>
            </w:r>
          </w:p>
          <w:p w14:paraId="76F535E4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833C0B"/>
              </w:rPr>
              <w:t>【学生】总结回顾知识点</w:t>
            </w:r>
          </w:p>
        </w:tc>
      </w:tr>
      <w:tr w14:paraId="6F9CF7FC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5" w:type="dxa"/>
            <w:shd w:val="clear" w:color="auto" w:fill="DEEAF6"/>
            <w:vAlign w:val="center"/>
          </w:tcPr>
          <w:p w14:paraId="647E8B5C">
            <w:pPr>
              <w:pStyle w:val="4"/>
              <w:jc w:val="center"/>
            </w:pPr>
            <w:r>
              <w:rPr>
                <w:rFonts w:hint="eastAsia" w:ascii="微软雅黑" w:hAnsi="微软雅黑"/>
                <w:b/>
              </w:rPr>
              <w:t>作业布置</w:t>
            </w:r>
          </w:p>
        </w:tc>
        <w:tc>
          <w:tcPr>
            <w:tcW w:w="8363" w:type="dxa"/>
            <w:gridSpan w:val="2"/>
            <w:shd w:val="clear" w:color="auto" w:fill="FFFFFF"/>
            <w:vAlign w:val="center"/>
          </w:tcPr>
          <w:p w14:paraId="3DEFBD7B">
            <w:pPr>
              <w:pStyle w:val="4"/>
              <w:ind w:left="200" w:leftChars="100"/>
              <w:rPr>
                <w:rFonts w:ascii="微软雅黑" w:hAnsi="微软雅黑"/>
                <w:b/>
                <w:color w:val="1F4E79"/>
              </w:rPr>
            </w:pPr>
            <w:r>
              <w:rPr>
                <w:rFonts w:hint="eastAsia" w:ascii="微软雅黑" w:hAnsi="微软雅黑"/>
                <w:b/>
                <w:color w:val="1F4E79"/>
              </w:rPr>
              <w:t>【教师】布置课后作业</w:t>
            </w:r>
          </w:p>
          <w:p w14:paraId="608429D6">
            <w:pPr>
              <w:pStyle w:val="4"/>
              <w:ind w:firstLine="180" w:firstLineChars="100"/>
            </w:pPr>
            <w:r>
              <w:rPr>
                <w:rFonts w:hint="eastAsia"/>
                <w:lang w:val="en-US" w:eastAsia="zh-CN"/>
              </w:rPr>
              <w:t>见配套习题与实训教材</w:t>
            </w:r>
          </w:p>
          <w:p w14:paraId="16A87898">
            <w:pPr>
              <w:pStyle w:val="4"/>
              <w:ind w:firstLine="180" w:firstLineChars="100"/>
            </w:pPr>
            <w:r>
              <w:rPr>
                <w:rFonts w:hint="eastAsia" w:ascii="微软雅黑" w:hAnsi="微软雅黑"/>
                <w:b/>
                <w:color w:val="833C0B"/>
              </w:rPr>
              <w:t>【学生】完成</w:t>
            </w:r>
            <w:r>
              <w:rPr>
                <w:rFonts w:hint="eastAsia" w:ascii="微软雅黑" w:hAnsi="微软雅黑"/>
                <w:b/>
                <w:color w:val="833C0B"/>
                <w:spacing w:val="-8"/>
              </w:rPr>
              <w:t>课后</w:t>
            </w:r>
            <w:r>
              <w:rPr>
                <w:rFonts w:hint="eastAsia" w:ascii="微软雅黑" w:hAnsi="微软雅黑"/>
                <w:b/>
                <w:color w:val="833C0B"/>
              </w:rPr>
              <w:t>任务</w:t>
            </w:r>
          </w:p>
        </w:tc>
      </w:tr>
      <w:tr w14:paraId="536243AE">
        <w:tblPrEx>
          <w:tblBorders>
            <w:top w:val="single" w:color="1F3864" w:sz="12" w:space="0"/>
            <w:left w:val="single" w:color="1F3864" w:sz="12" w:space="0"/>
            <w:bottom w:val="single" w:color="1F3864" w:sz="12" w:space="0"/>
            <w:right w:val="single" w:color="1F3864" w:sz="12" w:space="0"/>
            <w:insideH w:val="single" w:color="1F3864" w:sz="4" w:space="0"/>
            <w:insideV w:val="single" w:color="1F386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5" w:type="dxa"/>
            <w:shd w:val="clear" w:color="auto" w:fill="DEEAF6"/>
            <w:vAlign w:val="center"/>
          </w:tcPr>
          <w:p w14:paraId="7992EA47">
            <w:pPr>
              <w:pStyle w:val="4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8363" w:type="dxa"/>
            <w:gridSpan w:val="2"/>
            <w:shd w:val="clear" w:color="auto" w:fill="FFFFFF"/>
            <w:vAlign w:val="center"/>
          </w:tcPr>
          <w:p w14:paraId="1F6C05BF">
            <w:pPr>
              <w:pStyle w:val="4"/>
            </w:pPr>
          </w:p>
          <w:p w14:paraId="5BE341FE">
            <w:pPr>
              <w:pStyle w:val="4"/>
              <w:ind w:firstLine="360" w:firstLineChars="200"/>
            </w:pPr>
          </w:p>
          <w:p w14:paraId="2F47011A">
            <w:pPr>
              <w:pStyle w:val="4"/>
              <w:ind w:firstLine="360" w:firstLineChars="200"/>
            </w:pPr>
          </w:p>
        </w:tc>
      </w:tr>
    </w:tbl>
    <w:p w14:paraId="10A8AB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953261"/>
    <w:rsid w:val="64183B96"/>
    <w:rsid w:val="777E1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  <w:style w:type="paragraph" w:customStyle="1" w:styleId="5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2364</Words>
  <Characters>2532</Characters>
  <Lines>0</Lines>
  <Paragraphs>0</Paragraphs>
  <TotalTime>9</TotalTime>
  <ScaleCrop>false</ScaleCrop>
  <LinksUpToDate>false</LinksUpToDate>
  <CharactersWithSpaces>2681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2025-02-13T02:41:00Z</dcterms:created>
  <dc:creator>admin</dc:creator>
  <cp:lastModifiedBy>星回°</cp:lastModifiedBy>
  <dcterms:modified xsi:type="dcterms:W3CDTF">2025-03-04T09:41:29Z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eyJoZGlkIjoiYTVhMzUzYzA1OWE2YTZhOTEzZGE3MDg3NWE2YTcxMjAiLCJ1c2VySWQiOiIyNDU3MTA1OTIifQ==</vt:lpwstr>
  </property>
  <property fmtid="{D5CDD505-2E9C-101B-9397-08002B2CF9AE}" pid="4" name="ICV">
    <vt:lpwstr>BF8A39467E574E479D903008766C9B89_12</vt:lpwstr>
  </property>
</Properties>
</file>